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center"/>
        <w:rPr>
          <w:b/>
          <w:sz w:val="24"/>
          <w:szCs w:val="24"/>
        </w:rPr>
      </w:pPr>
      <w:bookmarkStart w:id="0" w:name="_GoBack"/>
      <w:bookmarkEnd w:id="0"/>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2026 г.</w:t>
      </w:r>
    </w:p>
    <w:p>
      <w:pPr>
        <w:pStyle w:val="Normal"/>
        <w:shd w:val="clear" w:color="auto" w:fill="FFFFFF"/>
        <w:tabs>
          <w:tab w:val="clear" w:pos="709"/>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rPr>
        <w:t xml:space="preserve">Акционерное общество «Дальневосточная генерирующая компания» </w:t>
      </w:r>
      <w:r>
        <w:rPr>
          <w:color w:val="auto"/>
        </w:rPr>
        <w:t xml:space="preserve">(АО «ДГК») (далее – «Заказчик»), в лице директора структурного подразделения «ТЭЦ в г. Советская Гавань» Павленко Владимира Юрьевича действующего на основании доверенности ff6577dd-af39-4167-bcae-643ac6b32698 от 21.08.2024, с одной стороны, и </w:t>
      </w:r>
    </w:p>
    <w:p>
      <w:pPr>
        <w:pStyle w:val="BodyText3"/>
        <w:ind w:firstLine="708"/>
        <w:rPr>
          <w:color w:val="auto"/>
        </w:rPr>
      </w:pPr>
      <w:r>
        <w:rPr>
          <w:b/>
          <w:color w:val="auto"/>
          <w:u w:val="none"/>
          <w:lang w:val="ru-RU"/>
        </w:rPr>
        <w:t xml:space="preserve">Полное наименование контрагента (Сокращенное наименование контрагента) </w:t>
      </w:r>
      <w:r>
        <w:rPr>
          <w:color w:val="auto"/>
        </w:rPr>
        <w:t xml:space="preserve">(далее – «Подрядчик»), в лице ________________, действующего на основании ______________, с другой стороны, </w:t>
      </w:r>
    </w:p>
    <w:p>
      <w:pPr>
        <w:pStyle w:val="BodyText3"/>
        <w:ind w:firstLine="708"/>
        <w:rPr>
          <w:color w:val="auto"/>
        </w:rPr>
      </w:pPr>
      <w:r>
        <w:rPr>
          <w:color w:val="auto"/>
        </w:rPr>
        <w:t xml:space="preserve">совместно в дальнейшем именуемые «Стороны», а по отдельности – «Сторона», </w:t>
      </w:r>
    </w:p>
    <w:p>
      <w:pPr>
        <w:pStyle w:val="BodyText3"/>
        <w:ind w:firstLine="708"/>
        <w:rPr>
          <w:bCs/>
          <w:color w:val="auto"/>
          <w:lang w:val="ru-RU"/>
        </w:rPr>
      </w:pPr>
      <w:r>
        <w:rPr>
          <w:color w:val="auto"/>
          <w:highlight w:val="lightGray"/>
        </w:rPr>
        <w:t>по результатам проведенной Заказчиком конкурентной процедуры по лоту №_______</w:t>
      </w:r>
      <w:r>
        <w:rPr>
          <w:bCs/>
          <w:color w:val="auto"/>
          <w:highlight w:val="lightGray"/>
        </w:rPr>
        <w:t>,</w:t>
      </w:r>
      <w:r>
        <w:rPr>
          <w:highlight w:val="lightGray"/>
        </w:rPr>
        <w:t xml:space="preserve"> </w:t>
      </w:r>
      <w:r>
        <w:rPr>
          <w:color w:val="auto"/>
          <w:highlight w:val="lightGray"/>
          <w:lang w:val="ru-RU"/>
        </w:rPr>
        <w:t>и</w:t>
      </w:r>
      <w:r>
        <w:rPr>
          <w:highlight w:val="lightGray"/>
          <w:lang w:val="ru-RU"/>
        </w:rPr>
        <w:t xml:space="preserve"> </w:t>
      </w:r>
      <w:r>
        <w:rPr>
          <w:bCs/>
          <w:color w:val="auto"/>
          <w:highlight w:val="lightGray"/>
        </w:rPr>
        <w:t>на основании Протокола №_______ от «___»__________ года</w:t>
      </w:r>
      <w:r>
        <w:rPr>
          <w:bCs/>
          <w:color w:val="auto"/>
          <w:highlight w:val="lightGray"/>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9"/>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«Банковская гарантия»</w:t>
      </w:r>
      <w:r>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перечень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Pr/>
        <w:t xml:space="preserve"> </w:t>
      </w:r>
      <w:r>
        <w:rPr>
          <w:lang w:eastAsia="en-US"/>
        </w:rPr>
        <w:t xml:space="preserve">в той мере, </w:t>
        <w:br/>
        <w:t xml:space="preserve">в какой указанные правила не противоречат законодательству Российской Федерации </w:t>
        <w:br/>
        <w:t>и условиям настоящего Договора.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«Гарантийный срок»</w:t>
      </w:r>
      <w:r>
        <w:rPr/>
        <w:t xml:space="preserve"> </w:t>
      </w:r>
      <w:r>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w:t>
      </w:r>
      <w:r>
        <w:rPr>
          <w:highlight w:val="white"/>
          <w:lang w:eastAsia="en-US"/>
        </w:rPr>
        <w:t>Рабочей документации и</w:t>
      </w:r>
      <w:r>
        <w:rPr>
          <w:lang w:eastAsia="en-US"/>
        </w:rPr>
        <w:t xml:space="preserve">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 xml:space="preserve"> </w:t>
      </w: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«Обеспечительный платеж»</w:t>
      </w:r>
      <w:r>
        <w:rPr>
          <w:lang w:eastAsia="en-US"/>
        </w:rPr>
        <w:t xml:space="preserve"> – </w:t>
      </w:r>
      <w:r>
        <w:rPr/>
        <w:t>платеж в размере 10 (десять) процентов от цены соответствующего Этапа Работ, который удерживается Заказчиком в качестве гарантийного резервирования в случае непредставления Подрядчиком Банковской гарантии в соответствии с требованиями, установленными Договором</w:t>
      </w:r>
      <w:r>
        <w:rPr>
          <w:lang w:eastAsia="en-US"/>
        </w:rPr>
        <w:t xml:space="preserve">. </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9"/>
          <w:tab w:val="left" w:pos="567" w:leader="none"/>
          <w:tab w:val="left" w:pos="1134" w:leader="none"/>
        </w:tabs>
        <w:ind w:left="0" w:firstLine="708"/>
        <w:jc w:val="both"/>
        <w:rPr>
          <w:lang w:eastAsia="en-US"/>
        </w:rPr>
      </w:pPr>
      <w:r>
        <w:rPr>
          <w:lang w:eastAsia="en-US"/>
        </w:rPr>
        <w:t>К приемо-сдаточной документации относятся:</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9"/>
          <w:tab w:val="left" w:pos="567" w:leader="none"/>
          <w:tab w:val="left" w:pos="1134" w:leader="none"/>
        </w:tabs>
        <w:ind w:left="0" w:firstLine="72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9"/>
          <w:tab w:val="left" w:pos="567" w:leader="none"/>
        </w:tabs>
        <w:spacing w:before="0" w:after="0"/>
        <w:ind w:firstLine="708"/>
        <w:jc w:val="both"/>
        <w:rPr>
          <w:b w:val="false"/>
          <w:sz w:val="24"/>
          <w:szCs w:val="24"/>
          <w:highlight w:val="white"/>
        </w:rPr>
      </w:pPr>
      <w:r>
        <w:rPr>
          <w:sz w:val="24"/>
          <w:szCs w:val="24"/>
          <w:highlight w:val="white"/>
          <w:lang w:eastAsia="en-US"/>
        </w:rPr>
        <w:t>«</w:t>
      </w:r>
      <w:r>
        <w:rPr>
          <w:sz w:val="24"/>
          <w:szCs w:val="24"/>
          <w:highlight w:val="white"/>
          <w:lang w:val="ru-RU" w:eastAsia="en-US"/>
        </w:rPr>
        <w:t>Проектные работы»</w:t>
      </w:r>
      <w:r>
        <w:rPr>
          <w:b w:val="false"/>
          <w:sz w:val="24"/>
          <w:szCs w:val="24"/>
          <w:highlight w:val="white"/>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pPr>
        <w:pStyle w:val="Heading3"/>
        <w:keepNext w:val="false"/>
        <w:widowControl w:val="false"/>
        <w:tabs>
          <w:tab w:val="clear" w:pos="709"/>
          <w:tab w:val="left" w:pos="567" w:leader="none"/>
        </w:tabs>
        <w:spacing w:before="0" w:after="0"/>
        <w:ind w:firstLine="708"/>
        <w:jc w:val="both"/>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в соответствии с условиями Договора, </w:t>
      </w:r>
      <w:r>
        <w:rPr>
          <w:b w:val="false"/>
          <w:sz w:val="24"/>
          <w:szCs w:val="24"/>
          <w:highlight w:val="white"/>
          <w:lang w:val="ru-RU" w:eastAsia="en-US"/>
        </w:rPr>
        <w:t>Рабочей документацией</w:t>
      </w:r>
      <w:r>
        <w:rPr>
          <w:b w:val="false"/>
          <w:sz w:val="24"/>
          <w:szCs w:val="24"/>
          <w:lang w:val="ru-RU" w:eastAsia="en-US"/>
        </w:rPr>
        <w:t xml:space="preserve"> и Применимым правом работы, в том числе </w:t>
      </w:r>
      <w:r>
        <w:rPr>
          <w:b w:val="false"/>
          <w:sz w:val="24"/>
          <w:szCs w:val="24"/>
          <w:highlight w:val="white"/>
          <w:lang w:val="ru-RU" w:eastAsia="en-US"/>
        </w:rPr>
        <w:t>Проектные работы,</w:t>
      </w:r>
      <w:r>
        <w:rPr>
          <w:b w:val="false"/>
          <w:sz w:val="24"/>
          <w:szCs w:val="24"/>
          <w:lang w:val="ru-RU" w:eastAsia="en-US"/>
        </w:rPr>
        <w:t xml:space="preserve"> строительно-монтажные, пусконаладочные и прочие неразрывно связанные с ними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 и оборудования)</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9"/>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sz w:val="24"/>
          <w:szCs w:val="24"/>
          <w:highlight w:val="white"/>
        </w:rPr>
      </w:pPr>
      <w:r>
        <w:rPr>
          <w:b/>
          <w:sz w:val="24"/>
          <w:szCs w:val="24"/>
          <w:highlight w:val="white"/>
          <w:lang w:eastAsia="en-US"/>
        </w:rPr>
        <w:t xml:space="preserve">«Рабочая документация» – </w:t>
      </w:r>
      <w:r>
        <w:rPr>
          <w:sz w:val="24"/>
          <w:szCs w:val="24"/>
          <w:highlight w:val="white"/>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highlight w:val="white"/>
        </w:rPr>
        <w:t xml:space="preserve">одержащая: </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highlight w:val="white"/>
        </w:rPr>
      </w:pPr>
      <w:r>
        <w:rPr>
          <w:highlight w:val="white"/>
          <w:lang w:eastAsia="en-US"/>
        </w:rPr>
        <w:t>рабочие чертежи основного комплекта, спецификации оборудования и изделий;</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highlight w:val="white"/>
        </w:rPr>
      </w:pPr>
      <w:r>
        <w:rPr>
          <w:highlight w:val="white"/>
          <w:lang w:eastAsia="en-US"/>
        </w:rPr>
        <w:t>документы, разработанные в дополнение к рабочим чертежам основного комплекта;</w:t>
      </w:r>
    </w:p>
    <w:p>
      <w:pPr>
        <w:pStyle w:val="ListParagraph"/>
        <w:widowControl w:val="false"/>
        <w:numPr>
          <w:ilvl w:val="0"/>
          <w:numId w:val="6"/>
        </w:numPr>
        <w:shd w:val="clear" w:color="auto" w:fill="FFFFFF"/>
        <w:tabs>
          <w:tab w:val="clear" w:pos="709"/>
          <w:tab w:val="left" w:pos="567" w:leader="none"/>
          <w:tab w:val="left" w:pos="1134" w:leader="none"/>
        </w:tabs>
        <w:ind w:left="0" w:firstLine="709"/>
        <w:jc w:val="both"/>
        <w:rPr>
          <w:highlight w:val="white"/>
        </w:rPr>
      </w:pPr>
      <w:r>
        <w:rPr>
          <w:highlight w:val="white"/>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9"/>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в Гарантийную эксплуатацию по Акту КС-11, соответствующий требованиям, изложенным в Техническом задании (Приложение № 1 к Договору).</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«Скрытые работы»</w:t>
      </w:r>
      <w:r>
        <w:rPr>
          <w:b w:val="false"/>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Calibri" w:eastAsiaTheme="minorHAnsi"/>
          <w:b w:val="false"/>
          <w:bCs/>
          <w:sz w:val="24"/>
          <w:szCs w:val="24"/>
          <w:lang w:eastAsia="en-US"/>
        </w:rPr>
        <w:t>но в соответствии с технологией их проведени</w:t>
      </w:r>
      <w:r>
        <w:rPr>
          <w:rFonts w:eastAsia="Calibri" w:eastAsiaTheme="minorHAnsi"/>
          <w:b w:val="false"/>
          <w:bCs/>
          <w:sz w:val="24"/>
          <w:szCs w:val="24"/>
          <w:lang w:val="ru-RU" w:eastAsia="en-US"/>
        </w:rPr>
        <w:t>я</w:t>
      </w:r>
      <w:r>
        <w:rPr>
          <w:rFonts w:eastAsia="Calibri" w:eastAsiaTheme="minorHAnsi"/>
          <w:b w:val="false"/>
          <w:bCs/>
          <w:sz w:val="24"/>
          <w:szCs w:val="24"/>
          <w:lang w:eastAsia="en-US"/>
        </w:rPr>
        <w:t xml:space="preserve"> контроль за </w:t>
      </w:r>
      <w:r>
        <w:rPr>
          <w:rFonts w:eastAsia="Calibri" w:eastAsiaTheme="minorHAnsi"/>
          <w:b w:val="false"/>
          <w:bCs/>
          <w:sz w:val="24"/>
          <w:szCs w:val="24"/>
          <w:lang w:val="ru-RU" w:eastAsia="en-US"/>
        </w:rPr>
        <w:t xml:space="preserve">их </w:t>
      </w:r>
      <w:r>
        <w:rPr>
          <w:rFonts w:eastAsia="Calibri" w:eastAsiaTheme="minorHAnsi"/>
          <w:b w:val="false"/>
          <w:bCs/>
          <w:sz w:val="24"/>
          <w:szCs w:val="24"/>
          <w:lang w:eastAsia="en-US"/>
        </w:rPr>
        <w:t xml:space="preserve">осуществлением не может быть проведен </w:t>
      </w:r>
      <w:r>
        <w:rPr>
          <w:rFonts w:eastAsia="Calibri" w:eastAsiaTheme="minorHAnsi"/>
          <w:b w:val="false"/>
          <w:bCs/>
          <w:sz w:val="24"/>
          <w:szCs w:val="24"/>
          <w:lang w:val="ru-RU" w:eastAsia="en-US"/>
        </w:rPr>
        <w:t xml:space="preserve">Заказчиком </w:t>
      </w:r>
      <w:r>
        <w:rPr>
          <w:rFonts w:eastAsia="Calibri" w:eastAsiaTheme="minorHAnsi"/>
          <w:b w:val="false"/>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Calibri" w:eastAsiaTheme="minorHAnsi"/>
          <w:b w:val="false"/>
          <w:bCs/>
          <w:sz w:val="24"/>
          <w:szCs w:val="24"/>
          <w:lang w:val="ru-RU" w:eastAsia="en-US"/>
        </w:rPr>
        <w:t>.</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9"/>
          <w:tab w:val="left" w:pos="567" w:leader="none"/>
        </w:tabs>
        <w:spacing w:before="0" w:after="0"/>
        <w:ind w:firstLine="708"/>
        <w:jc w:val="both"/>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9"/>
          <w:tab w:val="left" w:pos="567" w:leader="none"/>
        </w:tabs>
        <w:spacing w:before="0" w:after="0"/>
        <w:ind w:firstLine="708"/>
        <w:jc w:val="both"/>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sz w:val="24"/>
          <w:szCs w:val="24"/>
        </w:rPr>
      </w:pPr>
      <w:r>
        <w:rPr>
          <w:sz w:val="24"/>
          <w:szCs w:val="24"/>
        </w:rPr>
      </w:r>
    </w:p>
    <w:p>
      <w:pPr>
        <w:pStyle w:val="ListParagraph"/>
        <w:numPr>
          <w:ilvl w:val="0"/>
          <w:numId w:val="3"/>
        </w:numPr>
        <w:shd w:val="clear" w:color="auto" w:fill="FFFFFF"/>
        <w:tabs>
          <w:tab w:val="clear" w:pos="709"/>
          <w:tab w:val="left" w:pos="284" w:leader="none"/>
        </w:tabs>
        <w:ind w:left="0" w:hanging="0"/>
        <w:jc w:val="center"/>
        <w:rPr>
          <w:b/>
          <w:bCs/>
        </w:rPr>
      </w:pPr>
      <w:r>
        <w:rPr>
          <w:b/>
          <w:bCs/>
        </w:rPr>
        <w:t>Предмет Договора</w:t>
      </w:r>
    </w:p>
    <w:p>
      <w:pPr>
        <w:pStyle w:val="ListParagraph"/>
        <w:numPr>
          <w:ilvl w:val="1"/>
          <w:numId w:val="3"/>
        </w:numPr>
        <w:shd w:val="clear" w:color="auto" w:fill="FFFFFF"/>
        <w:tabs>
          <w:tab w:val="clear" w:pos="709"/>
          <w:tab w:val="left" w:pos="1134" w:leader="none"/>
        </w:tabs>
        <w:ind w:left="0" w:firstLine="709"/>
        <w:jc w:val="both"/>
        <w:rPr>
          <w:bCs/>
        </w:rPr>
      </w:pPr>
      <w:bookmarkStart w:id="1" w:name="_Ref361410951"/>
      <w:r>
        <w:rPr>
          <w:bCs/>
        </w:rPr>
        <w:t xml:space="preserve">Подрядчик обязуется в соответствии с Техническим заданием (Приложение № 1 к Договору) выполнить работы по </w:t>
      </w:r>
      <w:r>
        <w:rPr>
          <w:bCs/>
          <w:i/>
          <w:highlight w:val="white"/>
        </w:rPr>
        <w:t>техническому перевооружени</w:t>
      </w:r>
      <w:r>
        <w:rPr>
          <w:i/>
          <w:iCs/>
          <w:highlight w:val="white"/>
        </w:rPr>
        <w:t xml:space="preserve">ю </w:t>
      </w:r>
      <w:r>
        <w:rPr>
          <w:i/>
          <w:iCs/>
          <w:highlight w:val="white"/>
          <w:lang w:eastAsia="ru-RU"/>
        </w:rPr>
        <w:t>системы питательных электронасосов (ПЭН) с заменой насосов типа АПЭ на НЦСП - 1 шт., ТЭЦ в г. Советская Гавань</w:t>
      </w:r>
      <w:r>
        <w:rPr>
          <w:bCs/>
          <w:highlight w:val="white"/>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pPr>
        <w:pStyle w:val="ListParagraph"/>
        <w:numPr>
          <w:ilvl w:val="1"/>
          <w:numId w:val="3"/>
        </w:numPr>
        <w:shd w:val="clear" w:color="auto" w:fill="FFFFFF"/>
        <w:tabs>
          <w:tab w:val="clear" w:pos="709"/>
          <w:tab w:val="left" w:pos="1134" w:leader="none"/>
        </w:tabs>
        <w:ind w:left="0" w:firstLine="709"/>
        <w:jc w:val="both"/>
        <w:rPr>
          <w:bCs/>
        </w:rPr>
      </w:pPr>
      <w:r>
        <w:rPr>
          <w:bCs/>
        </w:rPr>
        <w:t>В состав Работ по Договору входят:</w:t>
      </w:r>
    </w:p>
    <w:p>
      <w:pPr>
        <w:pStyle w:val="ListParagraph"/>
        <w:numPr>
          <w:ilvl w:val="2"/>
          <w:numId w:val="3"/>
        </w:numPr>
        <w:shd w:val="clear" w:color="auto" w:fill="FFFFFF"/>
        <w:tabs>
          <w:tab w:val="clear" w:pos="709"/>
          <w:tab w:val="left" w:pos="1418" w:leader="none"/>
        </w:tabs>
        <w:ind w:left="0" w:firstLine="709"/>
        <w:jc w:val="both"/>
        <w:rPr>
          <w:bCs/>
          <w:highlight w:val="white"/>
        </w:rPr>
      </w:pPr>
      <w:r>
        <w:rPr>
          <w:bCs/>
          <w:highlight w:val="white"/>
        </w:rPr>
        <w:t xml:space="preserve">Обследования, разработка </w:t>
      </w:r>
      <w:r>
        <w:rPr>
          <w:bCs/>
          <w:sz w:val="24"/>
          <w:szCs w:val="24"/>
          <w:highlight w:val="white"/>
        </w:rPr>
        <w:t>и согласование с Заказчиком рабочей документации по техническому перевооружению и интеграции в существующую АСУ ТП (при увеличении количества сигналов) системы питательных насосов</w:t>
      </w:r>
      <w:r>
        <w:rPr>
          <w:bCs/>
          <w:highlight w:val="white"/>
        </w:rPr>
        <w:t xml:space="preserve"> (далее – Проектные работы);</w:t>
      </w:r>
    </w:p>
    <w:p>
      <w:pPr>
        <w:pStyle w:val="ListParagraph"/>
        <w:numPr>
          <w:ilvl w:val="2"/>
          <w:numId w:val="3"/>
        </w:numPr>
        <w:shd w:val="clear" w:color="auto" w:fill="FFFFFF"/>
        <w:tabs>
          <w:tab w:val="clear" w:pos="709"/>
          <w:tab w:val="left" w:pos="1418" w:leader="none"/>
        </w:tabs>
        <w:ind w:left="0" w:firstLine="709"/>
        <w:jc w:val="both"/>
        <w:rPr>
          <w:bCs/>
          <w:highlight w:val="white"/>
        </w:rPr>
      </w:pPr>
      <w:r>
        <w:rPr>
          <w:bCs/>
          <w:highlight w:val="white"/>
        </w:rPr>
        <w:t>Строительно-монтажные работы (в том числе поставка оборудования и материалов), шеф-монтаж;</w:t>
      </w:r>
    </w:p>
    <w:p>
      <w:pPr>
        <w:pStyle w:val="ListParagraph"/>
        <w:numPr>
          <w:ilvl w:val="2"/>
          <w:numId w:val="3"/>
        </w:numPr>
        <w:shd w:val="clear" w:color="auto" w:fill="FFFFFF"/>
        <w:tabs>
          <w:tab w:val="clear" w:pos="709"/>
          <w:tab w:val="left" w:pos="1418" w:leader="none"/>
        </w:tabs>
        <w:ind w:left="0" w:firstLine="709"/>
        <w:jc w:val="both"/>
        <w:rPr>
          <w:bCs/>
          <w:highlight w:val="white"/>
        </w:rPr>
      </w:pPr>
      <w:r>
        <w:rPr>
          <w:bCs/>
          <w:highlight w:val="white"/>
        </w:rPr>
        <w:t>Пуско-наладочные работы, шеф-наладка;</w:t>
      </w:r>
    </w:p>
    <w:p>
      <w:pPr>
        <w:pStyle w:val="ListParagraph"/>
        <w:numPr>
          <w:ilvl w:val="1"/>
          <w:numId w:val="3"/>
        </w:numPr>
        <w:shd w:val="clear" w:color="auto" w:fill="FFFFFF"/>
        <w:tabs>
          <w:tab w:val="clear" w:pos="709"/>
          <w:tab w:val="left" w:pos="1134" w:leader="none"/>
        </w:tabs>
        <w:ind w:left="0" w:firstLine="709"/>
        <w:jc w:val="both"/>
        <w:rPr>
          <w:bCs/>
        </w:rPr>
      </w:pPr>
      <w:r>
        <w:rPr>
          <w:bCs/>
        </w:rPr>
        <w:t>Объем и состав Работ по Договору определяется Техническим заданием (Приложение №1). Работы по Договору подлежат выполнению Подрядчиком в строгом соответствии с</w:t>
      </w:r>
      <w:r>
        <w:rPr>
          <w:bCs/>
          <w:highlight w:val="white"/>
        </w:rPr>
        <w:t xml:space="preserve"> разработанной Рабочей д</w:t>
      </w:r>
      <w:r>
        <w:rPr>
          <w:bCs/>
        </w:rPr>
        <w:t>окументацией, требованиями Применимого права и указаниями Заказчика.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Работы по Договору выполняются для нужд структурного подразделения Заказчика «ТЭЦ в г. Советская Гавань». </w:t>
      </w:r>
    </w:p>
    <w:p>
      <w:pPr>
        <w:pStyle w:val="ListParagraph"/>
        <w:numPr>
          <w:ilvl w:val="1"/>
          <w:numId w:val="3"/>
        </w:numPr>
        <w:shd w:val="clear" w:color="auto" w:fill="FFFFFF"/>
        <w:tabs>
          <w:tab w:val="clear" w:pos="709"/>
          <w:tab w:val="left" w:pos="1134" w:leader="none"/>
        </w:tabs>
        <w:ind w:left="0" w:firstLine="709"/>
        <w:jc w:val="both"/>
        <w:rPr>
          <w:bCs/>
        </w:rPr>
      </w:pPr>
      <w:r>
        <w:rPr>
          <w:bCs/>
        </w:rPr>
        <w:t>Место выполнения Работ: г. Советская Гавань, ул. Кишиневская, стр</w:t>
      </w:r>
      <w:r>
        <w:rPr/>
        <w:t>. 2.</w:t>
      </w:r>
    </w:p>
    <w:p>
      <w:pPr>
        <w:pStyle w:val="ListParagraph"/>
        <w:numPr>
          <w:ilvl w:val="1"/>
          <w:numId w:val="3"/>
        </w:numPr>
        <w:shd w:val="clear" w:color="auto" w:fill="FFFFFF"/>
        <w:tabs>
          <w:tab w:val="clear" w:pos="709"/>
          <w:tab w:val="left" w:pos="1134" w:leader="none"/>
        </w:tabs>
        <w:ind w:left="0" w:firstLine="709"/>
        <w:jc w:val="both"/>
        <w:rPr>
          <w:bCs/>
        </w:rPr>
      </w:pPr>
      <w:bookmarkStart w:id="2" w:name="_Ref361320424"/>
      <w:r>
        <w:rPr>
          <w:bCs/>
        </w:rPr>
        <w:t>Работы выполняются Подрядчиком в следующие сроки:</w:t>
      </w:r>
      <w:bookmarkEnd w:id="2"/>
    </w:p>
    <w:p>
      <w:pPr>
        <w:pStyle w:val="ListParagraph"/>
        <w:numPr>
          <w:ilvl w:val="2"/>
          <w:numId w:val="3"/>
        </w:numPr>
        <w:shd w:val="clear" w:color="auto" w:fill="FFFFFF"/>
        <w:tabs>
          <w:tab w:val="clear" w:pos="709"/>
          <w:tab w:val="left" w:pos="1418" w:leader="none"/>
        </w:tabs>
        <w:ind w:left="0" w:firstLine="709"/>
        <w:jc w:val="both"/>
        <w:rPr>
          <w:highlight w:val="white"/>
        </w:rPr>
      </w:pPr>
      <w:r>
        <w:rPr>
          <w:bCs/>
        </w:rPr>
        <w:t xml:space="preserve">начало выполнения Работ: </w:t>
      </w:r>
      <w:r>
        <w:rPr>
          <w:highlight w:val="white"/>
        </w:rPr>
        <w:t>с даты, следующей за датой заключения Договора;</w:t>
      </w:r>
    </w:p>
    <w:p>
      <w:pPr>
        <w:pStyle w:val="ListParagraph"/>
        <w:numPr>
          <w:ilvl w:val="2"/>
          <w:numId w:val="3"/>
        </w:numPr>
        <w:shd w:val="clear" w:color="auto" w:fill="FFFFFF"/>
        <w:tabs>
          <w:tab w:val="clear" w:pos="709"/>
          <w:tab w:val="left" w:pos="1418" w:leader="none"/>
        </w:tabs>
        <w:ind w:left="0" w:firstLine="709"/>
        <w:jc w:val="both"/>
        <w:rPr/>
      </w:pPr>
      <w:r>
        <w:rPr>
          <w:bCs/>
        </w:rPr>
        <w:t>окончание выполнения Работ:</w:t>
      </w:r>
      <w:r>
        <w:rPr>
          <w:bCs/>
          <w:highlight w:val="white"/>
        </w:rPr>
        <w:t xml:space="preserve"> в течение 235 календарных дней, с даты, следующей за датой заключения Договора</w:t>
      </w:r>
      <w:r>
        <w:rPr>
          <w:highlight w:val="white"/>
        </w:rPr>
        <w:t>.</w:t>
      </w:r>
    </w:p>
    <w:p>
      <w:pPr>
        <w:pStyle w:val="ListParagraph"/>
        <w:numPr>
          <w:ilvl w:val="2"/>
          <w:numId w:val="3"/>
        </w:numPr>
        <w:shd w:val="clear" w:color="auto" w:fill="FFFFFF"/>
        <w:tabs>
          <w:tab w:val="clear" w:pos="709"/>
          <w:tab w:val="left" w:pos="1418" w:leader="none"/>
        </w:tabs>
        <w:ind w:left="0" w:firstLine="709"/>
        <w:jc w:val="both"/>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3"/>
        </w:numPr>
        <w:shd w:val="clear" w:color="auto" w:fill="FFFFFF"/>
        <w:tabs>
          <w:tab w:val="clear" w:pos="709"/>
          <w:tab w:val="left" w:pos="1134" w:leader="none"/>
        </w:tabs>
        <w:ind w:left="0" w:firstLine="709"/>
        <w:jc w:val="both"/>
        <w:rPr>
          <w:bCs/>
          <w:highlight w:val="none"/>
        </w:rPr>
      </w:pPr>
      <w:r>
        <w:rPr>
          <w:bCs/>
        </w:rPr>
        <w:t xml:space="preserve">Работы, указанные в </w:t>
      </w:r>
      <w:r>
        <w:rPr/>
        <w:t>пункте 1.1</w:t>
      </w:r>
      <w:r>
        <w:rPr>
          <w:bCs/>
        </w:rPr>
        <w:t xml:space="preserve"> Договора, подлежат выполнению в отношении Объектов, указанных в Приложении № 2 к Договору.</w:t>
      </w:r>
      <w:bookmarkStart w:id="3" w:name="_Ref361408377"/>
      <w:bookmarkEnd w:id="3"/>
    </w:p>
    <w:p>
      <w:pPr>
        <w:pStyle w:val="ListParagraph"/>
        <w:shd w:val="clear" w:color="auto" w:fill="FFFFFF"/>
        <w:tabs>
          <w:tab w:val="clear" w:pos="709"/>
          <w:tab w:val="left" w:pos="284" w:leader="none"/>
        </w:tabs>
        <w:ind w:left="0" w:hanging="0"/>
        <w:jc w:val="left"/>
        <w:rPr/>
      </w:pPr>
      <w:r>
        <w:rPr/>
      </w:r>
    </w:p>
    <w:p>
      <w:pPr>
        <w:pStyle w:val="ListParagraph"/>
        <w:numPr>
          <w:ilvl w:val="0"/>
          <w:numId w:val="3"/>
        </w:numPr>
        <w:shd w:val="clear" w:color="auto" w:fill="FFFFFF"/>
        <w:tabs>
          <w:tab w:val="clear" w:pos="709"/>
          <w:tab w:val="left" w:pos="284" w:leader="none"/>
        </w:tabs>
        <w:ind w:left="0" w:hanging="0"/>
        <w:jc w:val="center"/>
        <w:rPr>
          <w:b/>
          <w:bCs/>
        </w:rPr>
      </w:pPr>
      <w:r>
        <w:rPr>
          <w:b/>
          <w:bCs/>
        </w:rPr>
        <w:t>Поставка оборудования</w:t>
      </w:r>
    </w:p>
    <w:p>
      <w:pPr>
        <w:pStyle w:val="ListParagraph"/>
        <w:numPr>
          <w:ilvl w:val="1"/>
          <w:numId w:val="3"/>
        </w:numPr>
        <w:shd w:val="clear" w:color="auto" w:fill="FFFFFF"/>
        <w:tabs>
          <w:tab w:val="clear" w:pos="709"/>
          <w:tab w:val="left" w:pos="1134" w:leader="none"/>
        </w:tabs>
        <w:ind w:left="0" w:firstLine="709"/>
        <w:jc w:val="both"/>
        <w:rPr>
          <w:bCs/>
        </w:rPr>
      </w:pPr>
      <w:r>
        <w:rPr>
          <w:bCs/>
          <w:color w:val="000000"/>
          <w:sz w:val="24"/>
        </w:rPr>
        <w:t>Качество, комплектность, количество и ассортимент поставляемого по Договору Оборудования должны</w:t>
      </w:r>
      <w:r>
        <w:rPr>
          <w:bCs/>
          <w:color w:val="000000"/>
        </w:rPr>
        <w:t xml:space="preserve"> </w:t>
      </w:r>
      <w:r>
        <w:rPr>
          <w:bCs/>
          <w:color w:val="000000"/>
          <w:sz w:val="24"/>
        </w:rPr>
        <w:t>соответствовать</w:t>
      </w:r>
      <w:r>
        <w:rPr>
          <w:bCs/>
          <w:color w:val="000000"/>
          <w:sz w:val="24"/>
          <w:shd w:fill="auto" w:val="clear"/>
        </w:rPr>
        <w:t xml:space="preserve"> Рабочей</w:t>
      </w:r>
      <w:r>
        <w:rPr>
          <w:bCs/>
          <w:color w:val="000000"/>
          <w:shd w:fill="auto" w:val="clear"/>
        </w:rPr>
        <w:t xml:space="preserve"> </w:t>
      </w:r>
      <w:r>
        <w:rPr>
          <w:bCs/>
          <w:color w:val="000000"/>
          <w:sz w:val="24"/>
          <w:shd w:fill="auto" w:val="clear"/>
        </w:rPr>
        <w:t>до</w:t>
      </w:r>
      <w:r>
        <w:rPr>
          <w:bCs/>
          <w:color w:val="000000"/>
          <w:sz w:val="24"/>
        </w:rPr>
        <w:t>кументации, требованиям Договора</w:t>
      </w:r>
      <w:r>
        <w:rPr>
          <w:bCs/>
          <w:color w:val="000000"/>
        </w:rPr>
        <w:t xml:space="preserve"> </w:t>
      </w:r>
      <w:r>
        <w:rPr>
          <w:bCs/>
          <w:color w:val="000000"/>
          <w:sz w:val="24"/>
        </w:rPr>
        <w:t>и Заказчика, а также</w:t>
      </w:r>
      <w:r>
        <w:rPr>
          <w:bCs/>
          <w:color w:val="000000"/>
        </w:rPr>
        <w:t> </w:t>
      </w:r>
      <w:r>
        <w:rPr>
          <w:bCs/>
          <w:color w:val="000000"/>
          <w:sz w:val="24"/>
        </w:rPr>
        <w:t>Применимого к Оборудованию права</w:t>
      </w:r>
      <w:bookmarkStart w:id="4" w:name="_Ref361410951_Копия_1"/>
      <w:r>
        <w:rPr>
          <w:bCs/>
        </w:rPr>
        <w:t>.</w:t>
      </w:r>
      <w:bookmarkEnd w:id="4"/>
    </w:p>
    <w:p>
      <w:pPr>
        <w:pStyle w:val="ListParagraph"/>
        <w:numPr>
          <w:ilvl w:val="1"/>
          <w:numId w:val="3"/>
        </w:numPr>
        <w:shd w:val="clear" w:color="auto" w:fill="FFFFFF"/>
        <w:tabs>
          <w:tab w:val="clear" w:pos="709"/>
          <w:tab w:val="left" w:pos="1134" w:leader="none"/>
        </w:tabs>
        <w:ind w:left="0" w:firstLine="709"/>
        <w:jc w:val="both"/>
        <w:rPr>
          <w:b w:val="false"/>
          <w:bCs w:val="false"/>
        </w:rPr>
      </w:pPr>
      <w:r>
        <w:rPr>
          <w:b w:val="false"/>
          <w:bCs w:val="false"/>
          <w:color w:val="000000"/>
          <w:sz w:val="24"/>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br/>
        <w:t> что Оборудование принадлежит ему на законном основании, в споре, залоге или под арестом не состоит, и не обременено правами третьих лиц.</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rFonts w:ascii="Times New Roman" w:hAnsi="Times New Roman"/>
          <w:b w:val="false"/>
          <w:bCs w:val="false"/>
          <w:color w:val="000000"/>
          <w:sz w:val="24"/>
          <w:szCs w:val="24"/>
        </w:rPr>
      </w:pPr>
      <w:r>
        <w:rPr>
          <w:b w:val="false"/>
          <w:bCs w:val="false"/>
          <w:color w:val="000000"/>
          <w:sz w:val="24"/>
          <w:szCs w:val="24"/>
        </w:rPr>
        <w:t>Одновременно с передачей Оборудования Подрядчик обязан передать Заказчику оригиналы следующих относящихся к нему документов:</w:t>
      </w:r>
    </w:p>
    <w:p>
      <w:pPr>
        <w:pStyle w:val="BodyText"/>
        <w:numPr>
          <w:ilvl w:val="0"/>
          <w:numId w:val="0"/>
        </w:numPr>
        <w:shd w:val="clear" w:color="auto" w:fill="FFFFFF"/>
        <w:tabs>
          <w:tab w:val="clear" w:pos="709"/>
          <w:tab w:val="left" w:pos="1134" w:leader="none"/>
        </w:tabs>
        <w:spacing w:lineRule="auto" w:line="240" w:before="0" w:after="0"/>
        <w:ind w:left="0" w:right="0" w:hanging="0"/>
        <w:jc w:val="both"/>
        <w:rPr/>
      </w:pPr>
      <w:r>
        <w:rPr>
          <w:b w:val="false"/>
          <w:bCs w:val="false"/>
          <w:color w:val="000000"/>
          <w:sz w:val="24"/>
          <w:szCs w:val="24"/>
        </w:rPr>
        <w:t xml:space="preserve">- </w:t>
      </w:r>
      <w:r>
        <w:rPr>
          <w:color w:val="000000"/>
          <w:sz w:val="24"/>
        </w:rPr>
        <w:t>сертификат качества в 1</w:t>
      </w:r>
      <w:r>
        <w:rPr>
          <w:color w:val="000000"/>
          <w:sz w:val="24"/>
          <w:shd w:fill="auto" w:val="clear"/>
        </w:rPr>
        <w:t xml:space="preserve"> (одном) э</w:t>
      </w:r>
      <w:r>
        <w:rPr>
          <w:color w:val="000000"/>
          <w:sz w:val="24"/>
        </w:rPr>
        <w:t>кз</w:t>
      </w:r>
      <w:r>
        <w:rPr>
          <w:b w:val="false"/>
          <w:bCs w:val="false"/>
          <w:color w:val="000000"/>
          <w:sz w:val="24"/>
          <w:szCs w:val="24"/>
        </w:rPr>
        <w:t>;</w:t>
      </w:r>
    </w:p>
    <w:p>
      <w:pPr>
        <w:pStyle w:val="BodyText"/>
        <w:numPr>
          <w:ilvl w:val="0"/>
          <w:numId w:val="0"/>
        </w:numPr>
        <w:shd w:val="clear" w:color="auto" w:fill="FFFFFF"/>
        <w:tabs>
          <w:tab w:val="clear" w:pos="709"/>
          <w:tab w:val="left" w:pos="1134" w:leader="none"/>
        </w:tabs>
        <w:spacing w:lineRule="auto" w:line="240" w:before="0" w:after="0"/>
        <w:ind w:left="0" w:right="0" w:hanging="0"/>
        <w:jc w:val="both"/>
        <w:rPr/>
      </w:pPr>
      <w:r>
        <w:rPr>
          <w:b w:val="false"/>
          <w:bCs w:val="false"/>
          <w:color w:val="000000"/>
          <w:sz w:val="24"/>
          <w:szCs w:val="24"/>
        </w:rPr>
        <w:t>- технический паспорт на русском языке в 1 (</w:t>
      </w:r>
      <w:r>
        <w:rPr>
          <w:b w:val="false"/>
          <w:bCs w:val="false"/>
          <w:color w:val="000000"/>
          <w:sz w:val="24"/>
          <w:szCs w:val="24"/>
          <w:shd w:fill="auto" w:val="clear"/>
        </w:rPr>
        <w:t>одном) экз.;</w:t>
      </w:r>
    </w:p>
    <w:p>
      <w:pPr>
        <w:pStyle w:val="BodyText"/>
        <w:numPr>
          <w:ilvl w:val="0"/>
          <w:numId w:val="0"/>
        </w:numPr>
        <w:shd w:val="clear" w:color="auto" w:fill="FFFFFF"/>
        <w:tabs>
          <w:tab w:val="clear" w:pos="709"/>
          <w:tab w:val="left" w:pos="1134" w:leader="none"/>
        </w:tabs>
        <w:spacing w:lineRule="auto" w:line="240" w:before="0" w:after="0"/>
        <w:ind w:left="0" w:right="0" w:hanging="0"/>
        <w:jc w:val="both"/>
        <w:rPr>
          <w:highlight w:val="none"/>
          <w:shd w:fill="auto" w:val="clear"/>
        </w:rPr>
      </w:pPr>
      <w:r>
        <w:rPr>
          <w:b w:val="false"/>
          <w:bCs w:val="false"/>
          <w:color w:val="000000"/>
          <w:sz w:val="24"/>
          <w:szCs w:val="24"/>
          <w:shd w:fill="auto" w:val="clear"/>
        </w:rPr>
        <w:t>- инструкция по эксплуатации на русском языке в 1 (одном) экз.;</w:t>
      </w:r>
    </w:p>
    <w:p>
      <w:pPr>
        <w:pStyle w:val="BodyText"/>
        <w:numPr>
          <w:ilvl w:val="0"/>
          <w:numId w:val="0"/>
        </w:numPr>
        <w:shd w:val="clear" w:color="auto" w:fill="FFFFFF"/>
        <w:tabs>
          <w:tab w:val="clear" w:pos="709"/>
          <w:tab w:val="left" w:pos="1134" w:leader="none"/>
        </w:tabs>
        <w:spacing w:lineRule="auto" w:line="240" w:before="0" w:after="0"/>
        <w:ind w:left="0" w:right="0" w:hanging="0"/>
        <w:jc w:val="both"/>
        <w:rPr>
          <w:highlight w:val="none"/>
          <w:shd w:fill="auto" w:val="clear"/>
        </w:rPr>
      </w:pPr>
      <w:r>
        <w:rPr>
          <w:b w:val="false"/>
          <w:bCs w:val="false"/>
          <w:color w:val="000000"/>
          <w:sz w:val="24"/>
          <w:szCs w:val="24"/>
          <w:shd w:fill="auto" w:val="clear"/>
        </w:rPr>
        <w:t>- упаковочный лист в 1 (одном) экз.;</w:t>
      </w:r>
    </w:p>
    <w:p>
      <w:pPr>
        <w:pStyle w:val="BodyText"/>
        <w:numPr>
          <w:ilvl w:val="0"/>
          <w:numId w:val="0"/>
        </w:numPr>
        <w:shd w:val="clear" w:color="auto" w:fill="FFFFFF"/>
        <w:tabs>
          <w:tab w:val="clear" w:pos="709"/>
          <w:tab w:val="left" w:pos="1134" w:leader="none"/>
        </w:tabs>
        <w:spacing w:lineRule="auto" w:line="240" w:before="0" w:after="0"/>
        <w:ind w:left="0" w:right="0" w:hanging="0"/>
        <w:jc w:val="both"/>
        <w:rPr/>
      </w:pPr>
      <w:r>
        <w:rPr>
          <w:b w:val="false"/>
          <w:bCs w:val="false"/>
          <w:color w:val="000000"/>
          <w:sz w:val="24"/>
          <w:szCs w:val="24"/>
        </w:rPr>
        <w:t xml:space="preserve">- 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br/>
        <w:t> сертификат о происхождении товара и т.п.) в зависимости от номенклатуры поставляемого Оборудования;</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bookmarkStart w:id="5" w:name="_Ref361408232"/>
      <w:bookmarkEnd w:id="5"/>
      <w:r>
        <w:rPr>
          <w:b w:val="false"/>
          <w:bCs w:val="false"/>
          <w:color w:val="000000"/>
          <w:sz w:val="24"/>
          <w:szCs w:val="24"/>
        </w:rPr>
        <w:t>Подрядчик обязан обеспечить присутствие во время приёмки Оборудования </w:t>
        <w:br/>
        <w:t xml:space="preserve"> 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w:t>
        <w:br/>
        <w:t xml:space="preserve">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pPr>
        <w:pStyle w:val="BodyText"/>
        <w:widowControl/>
        <w:numPr>
          <w:ilvl w:val="0"/>
          <w:numId w:val="0"/>
        </w:numPr>
        <w:shd w:val="clear" w:color="auto" w:fill="FFFFFF"/>
        <w:tabs>
          <w:tab w:val="clear" w:pos="709"/>
          <w:tab w:val="left" w:pos="1134" w:leader="none"/>
        </w:tabs>
        <w:suppressAutoHyphens w:val="true"/>
        <w:bidi w:val="0"/>
        <w:spacing w:lineRule="auto" w:line="240" w:before="0" w:after="0"/>
        <w:ind w:left="680" w:right="0" w:hanging="0"/>
        <w:jc w:val="both"/>
        <w:rPr/>
      </w:pPr>
      <w:r>
        <w:rPr>
          <w:b w:val="false"/>
          <w:bCs w:val="false"/>
          <w:color w:val="000000"/>
          <w:sz w:val="24"/>
          <w:szCs w:val="24"/>
        </w:rPr>
        <w:t>Оригинал доверенности представителя Подрядчика подлежит передаче Заказчику.</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br/>
        <w:t xml:space="preserve"> в одностороннем порядке Акт рекламации будет являться достаточным основанием </w:t>
        <w:br/>
        <w:t> для применения к Подрядчику мер ответственности, установленных Договором.</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bookmarkStart w:id="6" w:name="_Ref361408474"/>
      <w:bookmarkEnd w:id="6"/>
      <w:r>
        <w:rPr>
          <w:b w:val="false"/>
          <w:bCs w:val="false"/>
          <w:color w:val="000000"/>
          <w:sz w:val="24"/>
          <w:szCs w:val="24"/>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Стоимость тары и упаковки включена в Цену Договора. Тара и упаковка возврату не подлежат.</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 xml:space="preserve">Погрузка, доставка и перемещение Оборудования (в том числе </w:t>
        <w:br/>
        <w:t> по территории Заказчика) осуществляется Подрядчиком.</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Досрочная поставка Оборудования допускается только при условии получения Подрядчиком письменного согласия Заказчика.</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 xml:space="preserve">При обнаружении фактов некомплектности, недопоставки Оборудования, отсутствия необходимых принадлежностей и / или документов, относящихся </w:t>
        <w:br/>
        <w:t xml:space="preserve"> к Оборудованию, Заказчик вправе прекратить приемку Оборудования до момента устранения выявленных нарушений. Подрядчик обязан в течение </w:t>
      </w:r>
      <w:r>
        <w:rPr>
          <w:b w:val="false"/>
          <w:bCs w:val="false"/>
          <w:color w:val="000000"/>
          <w:sz w:val="24"/>
          <w:szCs w:val="24"/>
          <w:shd w:fill="D3D3D3" w:val="clear"/>
        </w:rPr>
        <w:t>3 (трех)</w:t>
      </w:r>
      <w:r>
        <w:rPr>
          <w:b w:val="false"/>
          <w:bCs w:val="false"/>
          <w:color w:val="000000"/>
          <w:sz w:val="24"/>
          <w:szCs w:val="24"/>
        </w:rPr>
        <w:t xml:space="preserve">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pPr>
        <w:pStyle w:val="BodyText"/>
        <w:numPr>
          <w:ilvl w:val="0"/>
        </w:numPr>
        <w:shd w:val="clear" w:fill="FFFFFF"/>
        <w:spacing w:lineRule="auto" w:line="240" w:before="0" w:after="0"/>
        <w:ind w:left="0" w:right="0" w:firstLine="709"/>
        <w:jc w:val="both"/>
        <w:rPr/>
      </w:pPr>
      <w:r>
        <w:rPr>
          <w:color w:val="000000"/>
          <w:sz w:val="24"/>
        </w:rPr>
        <w:t>Устранение допущенных нарушений не</w:t>
      </w:r>
      <w:r>
        <w:rPr>
          <w:color w:val="000000"/>
        </w:rPr>
        <w:t xml:space="preserve"> </w:t>
      </w:r>
      <w:r>
        <w:rPr>
          <w:color w:val="000000"/>
          <w:sz w:val="24"/>
        </w:rPr>
        <w:t>освобождает Подрядчика от ответственности за убытки, причиненные Заказчику нарушением условий поставки.</w:t>
      </w:r>
      <w:r>
        <w:rPr>
          <w:color w:val="000000"/>
        </w:rPr>
        <w:t> </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pPr>
        <w:pStyle w:val="BodyText"/>
        <w:numPr>
          <w:ilvl w:val="0"/>
        </w:numPr>
        <w:shd w:val="clear" w:fill="FFFFFF"/>
        <w:spacing w:lineRule="auto" w:line="240" w:before="0" w:after="0"/>
        <w:ind w:left="0" w:right="0" w:firstLine="709"/>
        <w:jc w:val="both"/>
        <w:rPr/>
      </w:pPr>
      <w:r>
        <w:rPr>
          <w:color w:val="000000"/>
          <w:sz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срок, установленный Сторонами в Акте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pPr>
        <w:pStyle w:val="BodyText"/>
        <w:shd w:val="clear" w:fill="FFFFFF"/>
        <w:spacing w:lineRule="auto" w:line="240" w:before="0" w:after="0"/>
        <w:ind w:left="0" w:right="0" w:firstLine="709"/>
        <w:jc w:val="both"/>
        <w:rPr/>
      </w:pPr>
      <w:r>
        <w:rPr>
          <w:color w:val="000000"/>
          <w:sz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2.10, 2.11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pPr>
        <w:pStyle w:val="BodyText"/>
        <w:numPr>
          <w:ilvl w:val="0"/>
          <w:numId w:val="0"/>
        </w:numPr>
        <w:shd w:val="clear" w:color="auto" w:fill="FFFFFF"/>
        <w:tabs>
          <w:tab w:val="clear" w:pos="709"/>
          <w:tab w:val="left" w:pos="1134" w:leader="none"/>
        </w:tabs>
        <w:spacing w:lineRule="auto" w:line="240" w:before="0" w:after="0"/>
        <w:ind w:left="0" w:right="0" w:hanging="0"/>
        <w:jc w:val="both"/>
        <w:rPr/>
      </w:pPr>
      <w:r>
        <w:rPr>
          <w:b w:val="false"/>
          <w:bCs w:val="false"/>
          <w:color w:val="000000"/>
          <w:sz w:val="24"/>
          <w:szCs w:val="24"/>
        </w:rPr>
        <w:t xml:space="preserve">    </w:t>
      </w:r>
      <w:r>
        <w:rPr>
          <w:b w:val="false"/>
          <w:bCs w:val="false"/>
          <w:color w:val="000000"/>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pPr>
      <w:r>
        <w:rPr>
          <w:b w:val="false"/>
          <w:bCs w:val="false"/>
          <w:color w:val="000000"/>
          <w:sz w:val="24"/>
          <w:szCs w:val="24"/>
        </w:rPr>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br/>
        <w:t> при Совете Министров СССР от 15.06.1965 № П-6 (за исключением пунктов 18, 21, 29-32), Инструкцией Госарбитража при Совете Министров СССР от 25.04.1966 № П-7 </w:t>
        <w:br/>
        <w:t> (за исключением пунктов 20, 23, абз.3 пункта 30, 35, 38-42)</w:t>
      </w:r>
    </w:p>
    <w:p>
      <w:pPr>
        <w:pStyle w:val="BodyText"/>
        <w:numPr>
          <w:ilvl w:val="1"/>
          <w:numId w:val="3"/>
        </w:numPr>
        <w:shd w:val="clear" w:color="auto" w:fill="FFFFFF"/>
        <w:tabs>
          <w:tab w:val="clear" w:pos="709"/>
          <w:tab w:val="left" w:pos="1134" w:leader="none"/>
        </w:tabs>
        <w:spacing w:lineRule="auto" w:line="240" w:before="0" w:after="0"/>
        <w:ind w:left="0" w:right="0" w:firstLine="709"/>
        <w:jc w:val="both"/>
        <w:rPr>
          <w:rFonts w:ascii="Times New Roman" w:hAnsi="Times New Roman"/>
          <w:b w:val="false"/>
          <w:bCs w:val="false"/>
          <w:color w:val="000000"/>
          <w:sz w:val="24"/>
          <w:szCs w:val="24"/>
        </w:rPr>
      </w:pPr>
      <w:r>
        <w:rPr>
          <w:b w:val="false"/>
          <w:bCs w:val="false"/>
          <w:color w:val="000000"/>
          <w:sz w:val="24"/>
          <w:szCs w:val="24"/>
          <w:shd w:fill="auto" w:val="clear"/>
        </w:rPr>
        <w:t>В соответствии с пунктом 2.15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pPr>
        <w:pStyle w:val="BodyText"/>
        <w:numPr>
          <w:ilvl w:val="0"/>
        </w:numPr>
        <w:spacing w:lineRule="auto" w:line="240"/>
        <w:rPr/>
      </w:pPr>
      <w:r>
        <w:rPr/>
      </w:r>
    </w:p>
    <w:p>
      <w:pPr>
        <w:pStyle w:val="ListParagraph"/>
        <w:numPr>
          <w:ilvl w:val="0"/>
          <w:numId w:val="3"/>
        </w:numPr>
        <w:shd w:val="clear" w:color="auto" w:fill="FFFFFF"/>
        <w:tabs>
          <w:tab w:val="clear" w:pos="709"/>
          <w:tab w:val="left" w:pos="284" w:leader="none"/>
        </w:tabs>
        <w:ind w:left="0" w:hanging="0"/>
        <w:jc w:val="center"/>
        <w:rPr>
          <w:b/>
          <w:bCs/>
        </w:rPr>
      </w:pPr>
      <w:r>
        <w:rPr>
          <w:b/>
          <w:bCs/>
        </w:rPr>
        <w:t xml:space="preserve">Права и обязанности Сторон </w:t>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9"/>
          <w:tab w:val="left" w:pos="1418" w:leader="none"/>
        </w:tabs>
        <w:ind w:left="0" w:firstLine="709"/>
        <w:jc w:val="both"/>
        <w:rPr/>
      </w:pPr>
      <w:r>
        <w:rPr>
          <w:bCs/>
        </w:rPr>
        <w:t>В течение 5</w:t>
      </w:r>
      <w:r>
        <w:rPr>
          <w:bCs/>
          <w:highlight w:val="white"/>
        </w:rPr>
        <w:t xml:space="preserve"> (пяти) р</w:t>
      </w:r>
      <w:r>
        <w:rPr>
          <w:bCs/>
        </w:rPr>
        <w:t>абочих дней с даты получения соответствующего письменного запроса Подрядчика, передать (предоставить) последнему:</w:t>
      </w:r>
    </w:p>
    <w:p>
      <w:pPr>
        <w:pStyle w:val="ListParagraph"/>
        <w:numPr>
          <w:ilvl w:val="0"/>
          <w:numId w:val="7"/>
        </w:numPr>
        <w:shd w:val="clear" w:color="auto" w:fill="FFFFFF"/>
        <w:tabs>
          <w:tab w:val="left" w:pos="709" w:leader="none"/>
          <w:tab w:val="left" w:pos="1418" w:leader="none"/>
        </w:tabs>
        <w:ind w:left="0" w:firstLine="709"/>
        <w:jc w:val="both"/>
        <w:rPr/>
      </w:pPr>
      <w:r>
        <w:rPr/>
        <w:t>место производства Работ,</w:t>
      </w:r>
      <w:r>
        <w:rPr>
          <w:highlight w:val="white"/>
        </w:rPr>
        <w:t xml:space="preserve"> место (помещение) для складирования </w:t>
      </w:r>
      <w:r>
        <w:rPr>
          <w:bCs/>
          <w:highlight w:val="white"/>
        </w:rPr>
        <w:t xml:space="preserve">Материально-технических ресурсов и оборудования, </w:t>
      </w:r>
      <w:r>
        <w:rPr/>
        <w:t>по соответствующим актам сдачи-приемки (Приложение № 5.1 к Договору);</w:t>
      </w:r>
    </w:p>
    <w:p>
      <w:pPr>
        <w:pStyle w:val="ListParagraph"/>
        <w:numPr>
          <w:ilvl w:val="0"/>
          <w:numId w:val="7"/>
        </w:numPr>
        <w:shd w:val="clear" w:color="auto" w:fill="FFFFFF"/>
        <w:tabs>
          <w:tab w:val="left" w:pos="709" w:leader="none"/>
          <w:tab w:val="left" w:pos="1418" w:leader="none"/>
        </w:tabs>
        <w:ind w:left="0" w:firstLine="709"/>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Pr/>
        <w:t xml:space="preserve"> </w:t>
      </w:r>
      <w:bookmarkStart w:id="7" w:name="_Ref361396847"/>
      <w:r>
        <w:rPr/>
        <w:t xml:space="preserve"> </w:t>
      </w:r>
      <w:bookmarkEnd w:id="7"/>
    </w:p>
    <w:p>
      <w:pPr>
        <w:pStyle w:val="PlainText"/>
        <w:numPr>
          <w:ilvl w:val="2"/>
          <w:numId w:val="3"/>
        </w:numPr>
        <w:ind w:left="0" w:firstLine="709"/>
        <w:jc w:val="both"/>
        <w:rPr>
          <w:rFonts w:ascii="Times New Roman" w:hAnsi="Times New Roman" w:cs="Times New Roman"/>
          <w:sz w:val="24"/>
          <w:szCs w:val="24"/>
          <w:highlight w:val="white"/>
        </w:rPr>
      </w:pPr>
      <w:r>
        <w:rPr>
          <w:rFonts w:cs="Times New Roman" w:ascii="Times New Roman" w:hAnsi="Times New Roman"/>
          <w:sz w:val="24"/>
          <w:szCs w:val="24"/>
          <w:highlight w:val="white"/>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предоставить помещения для размещения персонала, складские и / или иные помещения.</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3"/>
        </w:numPr>
        <w:shd w:val="clear" w:color="auto" w:fill="FFFFFF"/>
        <w:tabs>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tabs>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3"/>
        </w:numPr>
        <w:shd w:val="clear" w:color="auto" w:fill="FFFFFF"/>
        <w:tabs>
          <w:tab w:val="left" w:pos="709" w:leader="none"/>
        </w:tabs>
        <w:ind w:left="0" w:firstLine="709"/>
        <w:jc w:val="both"/>
        <w:rPr>
          <w:bCs/>
        </w:rPr>
      </w:pPr>
      <w:r>
        <w:rPr>
          <w:bCs/>
        </w:rPr>
        <w:t>Выполнять иные обязанности, предусмотренные Договором.</w:t>
      </w:r>
    </w:p>
    <w:p>
      <w:pPr>
        <w:pStyle w:val="Normal"/>
        <w:tabs>
          <w:tab w:val="left" w:pos="709" w:leader="none"/>
        </w:tabs>
        <w:spacing w:lineRule="auto" w:line="240"/>
        <w:ind w:hanging="0"/>
        <w:rPr>
          <w:b/>
          <w:sz w:val="24"/>
          <w:szCs w:val="24"/>
        </w:rPr>
      </w:pPr>
      <w:r>
        <w:rPr>
          <w:b/>
          <w:sz w:val="24"/>
          <w:szCs w:val="24"/>
        </w:rPr>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9"/>
          <w:tab w:val="left" w:pos="1418" w:leader="none"/>
        </w:tabs>
        <w:ind w:left="0" w:firstLine="709"/>
        <w:jc w:val="both"/>
        <w:rPr>
          <w:bCs/>
        </w:rPr>
      </w:pPr>
      <w:r>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w:t>
      </w:r>
      <w:r>
        <w:rPr>
          <w:bCs/>
          <w:highlight w:val="white"/>
        </w:rPr>
        <w:t xml:space="preserve">ия. </w:t>
      </w:r>
      <w:r>
        <w:rPr>
          <w:bCs/>
        </w:rPr>
        <w:t xml:space="preserve">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3"/>
        </w:numPr>
        <w:shd w:val="clear" w:color="auto" w:fill="FFFFFF"/>
        <w:tabs>
          <w:tab w:val="clear" w:pos="709"/>
          <w:tab w:val="left" w:pos="1418" w:leader="none"/>
        </w:tabs>
        <w:ind w:left="0" w:firstLine="709"/>
        <w:jc w:val="both"/>
        <w:rPr>
          <w:bCs/>
        </w:rPr>
      </w:pPr>
      <w:bookmarkStart w:id="8"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w:t>
      </w:r>
      <w:r>
        <w:rPr>
          <w:bCs/>
          <w:highlight w:val="white"/>
        </w:rPr>
        <w:t xml:space="preserve">Рабочей </w:t>
      </w:r>
      <w:r>
        <w:rPr>
          <w:bCs/>
        </w:rPr>
        <w:t>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8"/>
      <w:r>
        <w:rPr>
          <w:bCs/>
        </w:rPr>
        <w:t xml:space="preserve"> </w:t>
      </w:r>
    </w:p>
    <w:p>
      <w:pPr>
        <w:pStyle w:val="ListParagraph"/>
        <w:numPr>
          <w:ilvl w:val="2"/>
          <w:numId w:val="3"/>
        </w:numPr>
        <w:shd w:val="clear" w:color="auto" w:fill="FFFFFF"/>
        <w:tabs>
          <w:tab w:val="clear" w:pos="709"/>
          <w:tab w:val="left" w:pos="1418" w:leader="none"/>
        </w:tabs>
        <w:ind w:left="0" w:firstLine="709"/>
        <w:jc w:val="both"/>
        <w:rPr>
          <w:bCs/>
        </w:rPr>
      </w:pPr>
      <w:bookmarkStart w:id="9"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9"/>
    </w:p>
    <w:p>
      <w:pPr>
        <w:pStyle w:val="ListParagraph"/>
        <w:numPr>
          <w:ilvl w:val="2"/>
          <w:numId w:val="3"/>
        </w:numPr>
        <w:shd w:val="clear" w:color="auto" w:fill="FFFFFF"/>
        <w:tabs>
          <w:tab w:val="clear" w:pos="709"/>
          <w:tab w:val="left" w:pos="1418" w:leader="none"/>
        </w:tabs>
        <w:ind w:left="0" w:firstLine="709"/>
        <w:jc w:val="both"/>
        <w:rPr>
          <w:bCs/>
        </w:rPr>
      </w:pPr>
      <w:bookmarkStart w:id="10"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Pr>
          <w:bCs/>
        </w:rPr>
        <w:t xml:space="preserve"> </w:t>
      </w:r>
    </w:p>
    <w:p>
      <w:pPr>
        <w:pStyle w:val="ListParagraph"/>
        <w:numPr>
          <w:ilvl w:val="2"/>
          <w:numId w:val="3"/>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9"/>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3"/>
        </w:numPr>
        <w:shd w:val="clear" w:color="auto" w:fill="FFFFFF"/>
        <w:tabs>
          <w:tab w:val="clear" w:pos="709"/>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9"/>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shd w:val="clear" w:color="auto" w:fill="FFFFFF"/>
        <w:tabs>
          <w:tab w:val="clear" w:pos="709"/>
          <w:tab w:val="left" w:pos="567" w:leader="none"/>
        </w:tabs>
        <w:ind w:left="0" w:firstLine="567"/>
        <w:jc w:val="both"/>
        <w:rPr>
          <w:bCs/>
          <w:color w:val="FF0000"/>
        </w:rPr>
      </w:pPr>
      <w:r>
        <w:rPr>
          <w:bCs/>
          <w:color w:val="FF0000"/>
        </w:rPr>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Подрядчик обязан</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В срок, указанный в пункте 3.1.2 Договора, принять от Заказчика на время выполнения Работ по Договору: </w:t>
      </w:r>
    </w:p>
    <w:p>
      <w:pPr>
        <w:pStyle w:val="ListParagraph"/>
        <w:numPr>
          <w:ilvl w:val="0"/>
          <w:numId w:val="16"/>
        </w:numPr>
        <w:shd w:val="clear" w:color="auto" w:fill="FFFFFF"/>
        <w:tabs>
          <w:tab w:val="clear" w:pos="709"/>
          <w:tab w:val="left" w:pos="1418" w:leader="none"/>
        </w:tabs>
        <w:ind w:left="0" w:firstLine="709"/>
        <w:jc w:val="both"/>
        <w:rPr>
          <w:bCs/>
        </w:rPr>
      </w:pPr>
      <w:r>
        <w:rPr>
          <w:bCs/>
        </w:rPr>
        <w:t>место производства Рабо</w:t>
      </w:r>
      <w:r>
        <w:rPr>
          <w:bCs/>
          <w:highlight w:val="white"/>
        </w:rPr>
        <w:t>т,</w:t>
      </w:r>
      <w:r>
        <w:rPr>
          <w:bCs/>
          <w:color w:val="FF0000"/>
          <w:highlight w:val="white"/>
        </w:rPr>
        <w:t xml:space="preserve"> </w:t>
      </w:r>
      <w:r>
        <w:rPr>
          <w:bCs/>
          <w:highlight w:val="white"/>
        </w:rPr>
        <w:t xml:space="preserve">место (помещение) для складирования Материально-технических ресурсов и оборудования </w:t>
      </w:r>
      <w:r>
        <w:rPr>
          <w:bCs/>
        </w:rPr>
        <w:t>по соответствующим актам сдачи-приемки (Приложение № 5.1 к Договору);</w:t>
      </w:r>
    </w:p>
    <w:p>
      <w:pPr>
        <w:pStyle w:val="ListParagraph"/>
        <w:numPr>
          <w:ilvl w:val="0"/>
          <w:numId w:val="16"/>
        </w:numPr>
        <w:shd w:val="clear" w:color="auto" w:fill="FFFFFF"/>
        <w:tabs>
          <w:tab w:val="clear" w:pos="709"/>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3"/>
        </w:numPr>
        <w:shd w:val="clear" w:color="auto" w:fill="FFFFFF"/>
        <w:tabs>
          <w:tab w:val="clear" w:pos="709"/>
          <w:tab w:val="left" w:pos="1418" w:leader="none"/>
        </w:tabs>
        <w:ind w:left="0" w:firstLine="709"/>
        <w:jc w:val="both"/>
        <w:rPr>
          <w:bCs/>
          <w:highlight w:val="white"/>
        </w:rPr>
      </w:pPr>
      <w:r>
        <w:rPr>
          <w:bCs/>
        </w:rPr>
        <w:t xml:space="preserve">При приемке места производства Работ, </w:t>
      </w:r>
      <w:r>
        <w:rPr>
          <w:bCs/>
          <w:highlight w:val="white"/>
        </w:rPr>
        <w:t>места (помещения) для складирования Материально-технических ресурсов и оборудования, указа</w:t>
      </w:r>
      <w:r>
        <w:rPr>
          <w:bCs/>
        </w:rPr>
        <w:t>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w:t>
      </w:r>
      <w:r>
        <w:rPr>
          <w:bCs/>
          <w:highlight w:val="white"/>
        </w:rPr>
        <w:t>х Материально-технических ресурсов и оборудования.</w:t>
      </w:r>
    </w:p>
    <w:p>
      <w:pPr>
        <w:pStyle w:val="ListParagraph"/>
        <w:shd w:val="clear" w:color="auto" w:fill="FFFFFF"/>
        <w:tabs>
          <w:tab w:val="clear" w:pos="709"/>
          <w:tab w:val="left" w:pos="1418" w:leader="none"/>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white"/>
        </w:rPr>
        <w:t>5 (пяти) р</w:t>
      </w:r>
      <w:r>
        <w:rPr>
          <w:bCs/>
        </w:rPr>
        <w:t>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3"/>
        </w:numPr>
        <w:shd w:val="clear" w:color="auto" w:fill="FFFFFF"/>
        <w:tabs>
          <w:tab w:val="clear" w:pos="709"/>
          <w:tab w:val="left" w:pos="1418" w:leader="none"/>
        </w:tabs>
        <w:ind w:left="0" w:firstLine="709"/>
        <w:jc w:val="both"/>
        <w:rPr>
          <w:bCs/>
        </w:rPr>
      </w:pPr>
      <w:r>
        <w:rPr>
          <w:bCs/>
        </w:rPr>
        <w:t>До  начала выполнения Работ предоставить Заказчику:</w:t>
      </w:r>
    </w:p>
    <w:p>
      <w:pPr>
        <w:pStyle w:val="ListParagraph"/>
        <w:numPr>
          <w:ilvl w:val="0"/>
          <w:numId w:val="13"/>
        </w:numPr>
        <w:shd w:val="clear" w:color="auto" w:fill="FFFFFF"/>
        <w:tabs>
          <w:tab w:val="clear" w:pos="709"/>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3"/>
        </w:numPr>
        <w:shd w:val="clear" w:color="auto" w:fill="FFFFFF"/>
        <w:tabs>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3"/>
        </w:numPr>
        <w:shd w:val="clear" w:color="auto" w:fill="FFFFFF"/>
        <w:tabs>
          <w:tab w:val="left" w:pos="709" w:leader="none"/>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5.1 к Договору) в соответствии с пунктами 3.1.2 и 3.1.3 Договора.</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3.2.3 и разделе 16 Договора,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9"/>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9"/>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9"/>
          <w:tab w:val="left" w:pos="1418" w:leader="none"/>
        </w:tabs>
        <w:ind w:left="0" w:firstLine="710"/>
        <w:jc w:val="both"/>
        <w:rPr>
          <w:bCs/>
        </w:rPr>
      </w:pPr>
      <w:r>
        <w:rP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9"/>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3"/>
        </w:numPr>
        <w:shd w:val="clear" w:color="auto" w:fill="FFFFFF"/>
        <w:tabs>
          <w:tab w:val="clear" w:pos="709"/>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3"/>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9"/>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3"/>
        </w:numPr>
        <w:shd w:val="clear" w:color="auto" w:fill="FFFFFF"/>
        <w:tabs>
          <w:tab w:val="clear" w:pos="709"/>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9"/>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9"/>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3"/>
        </w:numPr>
        <w:shd w:val="clear" w:color="auto" w:fill="FFFFFF"/>
        <w:tabs>
          <w:tab w:val="clear" w:pos="709"/>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3"/>
        </w:numPr>
        <w:shd w:val="clear" w:color="auto" w:fill="FFFFFF"/>
        <w:tabs>
          <w:tab w:val="clear" w:pos="709"/>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3"/>
        </w:numPr>
        <w:shd w:val="clear" w:color="auto" w:fill="FFFFFF"/>
        <w:tabs>
          <w:tab w:val="clear" w:pos="709"/>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9"/>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pPr>
        <w:pStyle w:val="ListParagraph"/>
        <w:numPr>
          <w:ilvl w:val="2"/>
          <w:numId w:val="3"/>
        </w:numPr>
        <w:shd w:val="clear" w:color="auto" w:fill="FFFFFF"/>
        <w:tabs>
          <w:tab w:val="clear" w:pos="709"/>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9"/>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9"/>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9"/>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s>
        <w:ind w:left="0" w:firstLine="709"/>
        <w:jc w:val="both"/>
        <w:rPr>
          <w:bCs/>
        </w:rPr>
      </w:pPr>
      <w:r>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9"/>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ind w:left="0" w:right="23" w:firstLine="709"/>
        <w:jc w:val="both"/>
        <w:rPr/>
      </w:pPr>
      <w:r>
        <w:rPr/>
        <w:t>аварии – в течение 2 (двух) часов;</w:t>
      </w:r>
    </w:p>
    <w:p>
      <w:pPr>
        <w:pStyle w:val="ListParagraph"/>
        <w:numPr>
          <w:ilvl w:val="0"/>
          <w:numId w:val="14"/>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4"/>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9"/>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3"/>
        </w:numPr>
        <w:shd w:val="clear" w:color="auto" w:fill="FFFFFF"/>
        <w:tabs>
          <w:tab w:val="clear" w:pos="709"/>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9"/>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3"/>
        </w:numPr>
        <w:shd w:val="clear" w:color="auto" w:fill="FFFFFF"/>
        <w:tabs>
          <w:tab w:val="clear" w:pos="709"/>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9"/>
          <w:tab w:val="left" w:pos="1418" w:leader="none"/>
        </w:tabs>
        <w:ind w:left="0" w:firstLine="709"/>
        <w:jc w:val="both"/>
        <w:rPr>
          <w:bCs/>
        </w:rPr>
      </w:pPr>
      <w:r>
        <w:rPr/>
        <w:t>Указанное уведомление должно быть получено Заказчиком заблаговременно</w:t>
      </w:r>
      <w:r>
        <w:rPr>
          <w:bCs/>
        </w:rPr>
        <w:t>, но не позднее, чем за 3</w:t>
      </w:r>
      <w:r>
        <w:rPr>
          <w:highlight w:val="white"/>
        </w:rPr>
        <w:t xml:space="preserve"> (три)</w:t>
      </w:r>
      <w:r>
        <w:rPr>
          <w:bCs/>
        </w:rPr>
        <w:t xml:space="preserve"> рабочих дня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3"/>
        </w:numPr>
        <w:shd w:val="clear" w:color="auto" w:fill="FFFFFF"/>
        <w:tabs>
          <w:tab w:val="clear" w:pos="709"/>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9"/>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3"/>
        </w:numPr>
        <w:shd w:val="clear" w:color="auto" w:fill="FFFFFF"/>
        <w:tabs>
          <w:tab w:val="clear" w:pos="709"/>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3"/>
        </w:numPr>
        <w:ind w:left="0" w:firstLine="709"/>
        <w:jc w:val="both"/>
        <w:rPr>
          <w:color w:val="000000"/>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3"/>
        </w:numPr>
        <w:shd w:val="clear" w:color="auto" w:fill="FFFFFF"/>
        <w:tabs>
          <w:tab w:val="clear" w:pos="709"/>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3"/>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3"/>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white"/>
        </w:rPr>
        <w:t xml:space="preserve">25 (Двадцать пять) процентов </w:t>
      </w:r>
      <w:r>
        <w:rPr>
          <w:bCs/>
        </w:rPr>
        <w:t xml:space="preserve">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9"/>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7"/>
        </w:numPr>
        <w:shd w:val="clear" w:color="auto" w:fill="FFFFFF"/>
        <w:tabs>
          <w:tab w:val="left" w:pos="709" w:leader="none"/>
        </w:tabs>
        <w:ind w:left="0" w:firstLine="709"/>
        <w:jc w:val="both"/>
        <w:rPr>
          <w:bCs/>
        </w:rPr>
      </w:pPr>
      <w:r>
        <w:rPr>
          <w:bCs/>
        </w:rPr>
        <w:t xml:space="preserve">проект договора с Субподрядчиком; </w:t>
      </w:r>
    </w:p>
    <w:p>
      <w:pPr>
        <w:pStyle w:val="ListParagraph"/>
        <w:numPr>
          <w:ilvl w:val="0"/>
          <w:numId w:val="17"/>
        </w:numPr>
        <w:shd w:val="clear" w:color="auto" w:fill="FFFFFF"/>
        <w:tabs>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7"/>
        </w:numPr>
        <w:shd w:val="clear" w:color="auto" w:fill="FFFFFF"/>
        <w:tabs>
          <w:tab w:val="left" w:pos="709" w:leader="none"/>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numPr>
          <w:ilvl w:val="0"/>
          <w:numId w:val="17"/>
        </w:numPr>
        <w:shd w:val="clear" w:color="auto" w:fill="FFFFFF"/>
        <w:tabs>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9"/>
          <w:tab w:val="left" w:pos="1276" w:leader="none"/>
          <w:tab w:val="left" w:pos="1418" w:leader="none"/>
        </w:tabs>
        <w:ind w:left="0" w:firstLine="567"/>
        <w:jc w:val="both"/>
        <w:rPr>
          <w:b/>
          <w:bCs/>
          <w:highlight w:val="yellow"/>
        </w:rPr>
      </w:pPr>
      <w:r>
        <w:rPr>
          <w:b/>
          <w:bCs/>
          <w:highlight w:val="yellow"/>
        </w:rPr>
      </w:r>
    </w:p>
    <w:p>
      <w:pPr>
        <w:pStyle w:val="ListParagraph"/>
        <w:numPr>
          <w:ilvl w:val="0"/>
          <w:numId w:val="3"/>
        </w:numPr>
        <w:shd w:val="clear" w:color="auto" w:fill="FFFFFF"/>
        <w:tabs>
          <w:tab w:val="clear" w:pos="709"/>
          <w:tab w:val="left" w:pos="284" w:leader="none"/>
        </w:tabs>
        <w:ind w:left="0" w:hanging="0"/>
        <w:jc w:val="center"/>
        <w:rPr/>
      </w:pPr>
      <w:r>
        <w:rPr>
          <w:b/>
          <w:bCs/>
        </w:rPr>
        <w:t>Цена Договора и порядок расчетов</w:t>
      </w:r>
    </w:p>
    <w:p>
      <w:pPr>
        <w:pStyle w:val="ListParagraph"/>
        <w:numPr>
          <w:ilvl w:val="1"/>
          <w:numId w:val="3"/>
        </w:numPr>
        <w:shd w:val="clear" w:color="auto" w:fill="FFFFFF"/>
        <w:tabs>
          <w:tab w:val="clear" w:pos="709"/>
          <w:tab w:val="left" w:pos="1134" w:leader="none"/>
        </w:tabs>
        <w:ind w:left="0" w:firstLine="709"/>
        <w:jc w:val="both"/>
        <w:rPr>
          <w:bCs/>
          <w:highlight w:val="white"/>
        </w:rPr>
      </w:pPr>
      <w:r>
        <w:rPr>
          <w:bCs/>
        </w:rPr>
        <w:t xml:space="preserve">Цена </w:t>
      </w:r>
      <w:r>
        <w:rPr/>
        <w:t xml:space="preserve">Договора </w:t>
      </w:r>
      <w:r>
        <w:rPr>
          <w:bCs/>
        </w:rPr>
        <w:t xml:space="preserve">является </w:t>
      </w:r>
      <w:r>
        <w:rPr>
          <w:bCs/>
          <w:highlight w:val="white"/>
        </w:rPr>
        <w:t xml:space="preserve">предельной </w:t>
      </w:r>
      <w:r>
        <w:rPr>
          <w:bCs/>
        </w:rPr>
        <w:t>и составляе</w:t>
      </w:r>
      <w:r>
        <w:rPr>
          <w:bCs/>
          <w:highlight w:val="white"/>
        </w:rPr>
        <w:t xml:space="preserve">т </w:t>
      </w:r>
      <w:r>
        <w:rPr>
          <w:highlight w:val="white"/>
        </w:rPr>
        <w:t>_______</w:t>
      </w:r>
      <w:r>
        <w:rPr>
          <w:bCs/>
          <w:highlight w:val="white"/>
        </w:rPr>
        <w:t xml:space="preserve"> (</w:t>
      </w:r>
      <w:r>
        <w:rPr>
          <w:highlight w:val="white"/>
        </w:rPr>
        <w:t>__________________</w:t>
      </w:r>
      <w:r>
        <w:rPr>
          <w:bCs/>
          <w:highlight w:val="white"/>
        </w:rPr>
        <w:t xml:space="preserve">) рублей </w:t>
      </w:r>
      <w:r>
        <w:rPr>
          <w:highlight w:val="white"/>
        </w:rPr>
        <w:t>___</w:t>
      </w:r>
      <w:r>
        <w:rPr>
          <w:bCs/>
          <w:highlight w:val="white"/>
        </w:rPr>
        <w:t xml:space="preserve"> копеек в том числе НДС __________________(_________) ____ копеек.  </w:t>
      </w:r>
    </w:p>
    <w:p>
      <w:pPr>
        <w:pStyle w:val="ListParagraph"/>
        <w:numPr>
          <w:ilvl w:val="1"/>
          <w:numId w:val="3"/>
        </w:numPr>
        <w:shd w:val="clear" w:color="auto" w:fill="FFFFFF"/>
        <w:tabs>
          <w:tab w:val="clear" w:pos="709"/>
          <w:tab w:val="left" w:pos="1134" w:leader="none"/>
        </w:tabs>
        <w:ind w:left="0" w:firstLine="709"/>
        <w:jc w:val="both"/>
        <w:rPr>
          <w:bCs/>
          <w:highlight w:val="white"/>
        </w:rPr>
      </w:pPr>
      <w:bookmarkStart w:id="11" w:name="_Ref361834605"/>
      <w:r>
        <w:rPr>
          <w:bCs/>
          <w:highlight w:val="white"/>
        </w:rPr>
        <w:t>Локальные сметные расчеты подлежат согласованию Сторонами не позднее истечения 6</w:t>
      </w:r>
      <w:r>
        <w:rPr>
          <w:highlight w:val="white"/>
        </w:rPr>
        <w:t>0</w:t>
      </w:r>
      <w:r>
        <w:rPr>
          <w:bCs/>
          <w:highlight w:val="white"/>
        </w:rPr>
        <w:t xml:space="preserve"> (шестидесяти)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 с приложениями (Приложение № 4 к Договору) путем заключения дополнительного соглашения к Договору.</w:t>
      </w:r>
      <w:bookmarkEnd w:id="11"/>
    </w:p>
    <w:p>
      <w:pPr>
        <w:pStyle w:val="ListParagraph"/>
        <w:numPr>
          <w:ilvl w:val="1"/>
          <w:numId w:val="3"/>
        </w:numPr>
        <w:shd w:val="clear" w:color="auto" w:fill="FFFFFF"/>
        <w:tabs>
          <w:tab w:val="clear" w:pos="709"/>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9"/>
          <w:tab w:val="left" w:pos="1418" w:leader="none"/>
        </w:tabs>
        <w:ind w:left="0" w:firstLine="709"/>
        <w:jc w:val="both"/>
        <w:rPr/>
      </w:pPr>
      <w:r>
        <w:rPr>
          <w:bCs/>
        </w:rPr>
        <w:t>Производство или приобретение Оборудования, его транспортировку до Места поставки Оборудования (в том числе перемещение по территории Заказчика), погрузку, разгрузку, стоимость тары и упаковки, монтаж и пусконаладочные работы,</w:t>
      </w:r>
      <w:r>
        <w:rPr/>
        <w:t xml:space="preserve"> </w:t>
      </w:r>
      <w:r>
        <w:rPr>
          <w:bCs/>
        </w:rPr>
        <w:t>включая стоимость необходимых для эксплуатации Оборудования лицензий</w:t>
      </w:r>
      <w:r>
        <w:rPr/>
        <w:t>;</w:t>
      </w:r>
    </w:p>
    <w:p>
      <w:pPr>
        <w:pStyle w:val="ListParagraph"/>
        <w:numPr>
          <w:ilvl w:val="2"/>
          <w:numId w:val="3"/>
        </w:numPr>
        <w:shd w:val="clear" w:color="auto" w:fill="FFFFFF"/>
        <w:tabs>
          <w:tab w:val="clear" w:pos="709"/>
          <w:tab w:val="left" w:pos="1418" w:leader="none"/>
        </w:tabs>
        <w:ind w:left="0" w:firstLine="709"/>
        <w:jc w:val="both"/>
        <w:rPr/>
      </w:pPr>
      <w: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3"/>
        </w:numPr>
        <w:shd w:val="clear" w:color="auto" w:fill="FFFFFF"/>
        <w:tabs>
          <w:tab w:val="clear" w:pos="709"/>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3"/>
        </w:numPr>
        <w:shd w:val="clear" w:color="auto" w:fill="FFFFFF"/>
        <w:tabs>
          <w:tab w:val="clear" w:pos="709"/>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3"/>
        </w:numPr>
        <w:shd w:val="clear" w:color="auto" w:fill="FFFFFF"/>
        <w:tabs>
          <w:tab w:val="clear" w:pos="709"/>
          <w:tab w:val="left" w:pos="1418" w:leader="none"/>
        </w:tabs>
        <w:ind w:left="0" w:firstLine="709"/>
        <w:jc w:val="both"/>
        <w:rPr/>
      </w:pPr>
      <w:r>
        <w:rPr/>
        <w:t xml:space="preserve">Все прочие затраты и расходы Подрядчика, связанные с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shd w:val="clear" w:color="auto" w:fill="FFFFFF"/>
        <w:tabs>
          <w:tab w:val="clear" w:pos="709"/>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3"/>
        </w:numPr>
        <w:shd w:val="clear" w:color="auto" w:fill="FFFFFF"/>
        <w:tabs>
          <w:tab w:val="clear" w:pos="709"/>
          <w:tab w:val="left" w:pos="1134" w:leader="none"/>
        </w:tabs>
        <w:ind w:left="0" w:firstLine="709"/>
        <w:jc w:val="both"/>
        <w:rPr>
          <w:bCs/>
        </w:rPr>
      </w:pPr>
      <w:bookmarkStart w:id="12" w:name="_Ref361834675"/>
      <w:bookmarkStart w:id="13" w:name="_Ref361858588"/>
      <w:r>
        <w:rPr>
          <w:bCs/>
        </w:rPr>
        <w:t>Оплата по Договору осуществляется Заказчиком в следующем порядке:</w:t>
      </w:r>
      <w:bookmarkEnd w:id="12"/>
      <w:bookmarkEnd w:id="13"/>
      <w:r>
        <w:rPr>
          <w:bCs/>
        </w:rPr>
        <w:t xml:space="preserve"> </w:t>
      </w:r>
    </w:p>
    <w:p>
      <w:pPr>
        <w:pStyle w:val="ListParagraph"/>
        <w:numPr>
          <w:ilvl w:val="2"/>
          <w:numId w:val="3"/>
        </w:numPr>
        <w:shd w:val="clear" w:color="auto" w:fill="FFFFFF"/>
        <w:tabs>
          <w:tab w:val="clear" w:pos="709"/>
          <w:tab w:val="left" w:pos="1418" w:leader="none"/>
        </w:tabs>
        <w:ind w:left="0" w:firstLine="709"/>
        <w:jc w:val="both"/>
        <w:rPr/>
      </w:pPr>
      <w:r>
        <w:rPr>
          <w:highlight w:val="white"/>
        </w:rPr>
        <w:t>Подрядчик не позднее, чем за 3 (три) рабочих дня до предполагаемой даты выплаты авансового платежа обязан предоставить Заказчику Банковскую гарантию по Договору в размере авансового платежа, соответствующую требованиям, установленным разделом 7 Договора.</w:t>
      </w:r>
    </w:p>
    <w:p>
      <w:pPr>
        <w:pStyle w:val="ListParagraph"/>
        <w:numPr>
          <w:ilvl w:val="2"/>
          <w:numId w:val="3"/>
        </w:numPr>
        <w:shd w:val="clear" w:color="auto" w:fill="FFFFFF"/>
        <w:tabs>
          <w:tab w:val="clear" w:pos="709"/>
          <w:tab w:val="left" w:pos="1418" w:leader="none"/>
        </w:tabs>
        <w:ind w:left="0" w:firstLine="709"/>
        <w:jc w:val="both"/>
        <w:rPr>
          <w:highlight w:val="white"/>
        </w:rPr>
      </w:pPr>
      <w:bookmarkStart w:id="14" w:name="_Ref373242755"/>
      <w:bookmarkStart w:id="15" w:name="_Ref361335057"/>
      <w:r>
        <w:rPr>
          <w:highlight w:val="white"/>
        </w:rPr>
        <w:t>Авансовые платежи в счет Этапа Проектных работ в размер</w:t>
      </w:r>
      <w:r>
        <w:rPr>
          <w:shd w:fill="auto" w:val="clear"/>
        </w:rPr>
        <w:t>е 10 (де</w:t>
      </w:r>
      <w:r>
        <w:rPr>
          <w:highlight w:val="white"/>
        </w:rPr>
        <w:t xml:space="preserve">сяти) процентов от стоимости Этапа Проектных работ выплачиваются в течение 30 (тридцати) календарных дней </w:t>
      </w:r>
      <w:bookmarkEnd w:id="15"/>
      <w:r>
        <w:rPr>
          <w:highlight w:val="white"/>
        </w:rPr>
        <w:t>с даты получения Заказчиком счета, выставленного Подрядчиком, но не ранее чем за 30 (тридцать) календарных дней до даты начала Этапа Проектных работ, с учетом пунктов 4.5.1, 4.5.6, 4.5.7 Договора.</w:t>
      </w:r>
      <w:bookmarkEnd w:id="14"/>
    </w:p>
    <w:p>
      <w:pPr>
        <w:pStyle w:val="ListParagraph"/>
        <w:numPr>
          <w:ilvl w:val="2"/>
          <w:numId w:val="3"/>
        </w:numPr>
        <w:shd w:val="clear" w:color="auto" w:fill="FFFFFF"/>
        <w:tabs>
          <w:tab w:val="clear" w:pos="709"/>
          <w:tab w:val="left" w:pos="1418" w:leader="none"/>
        </w:tabs>
        <w:ind w:left="0" w:firstLine="709"/>
        <w:jc w:val="both"/>
        <w:rPr/>
      </w:pPr>
      <w:bookmarkStart w:id="16" w:name="_Ref373242766"/>
      <w:r>
        <w:rPr/>
        <w:t>Авансовые платежи в счет стоимости каждого Этапа Рабо</w:t>
      </w:r>
      <w:r>
        <w:rPr>
          <w:highlight w:val="white"/>
        </w:rPr>
        <w:t>т (кроме Этапа Проектных работ) в размере 10 (десяти) процентов от стоимости соответствующег</w:t>
      </w:r>
      <w:r>
        <w:rPr/>
        <w:t>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4.5.1, 4.5.6, 4.5.7 Договора.</w:t>
      </w:r>
      <w:bookmarkEnd w:id="16"/>
    </w:p>
    <w:p>
      <w:pPr>
        <w:pStyle w:val="ListParagraph"/>
        <w:numPr>
          <w:ilvl w:val="2"/>
          <w:numId w:val="3"/>
        </w:numPr>
        <w:shd w:val="clear" w:color="auto" w:fill="FFFFFF"/>
        <w:tabs>
          <w:tab w:val="clear" w:pos="709"/>
          <w:tab w:val="left" w:pos="1418" w:leader="none"/>
        </w:tabs>
        <w:ind w:left="0" w:firstLine="709"/>
        <w:jc w:val="both"/>
        <w:rPr>
          <w:highlight w:val="white"/>
        </w:rPr>
      </w:pPr>
      <w:bookmarkStart w:id="17" w:name="_Ref373242949"/>
      <w:r>
        <w:rPr>
          <w:highlight w:val="white"/>
        </w:rPr>
        <w:t>Последующие платежи в размере 90 (девяноста) процентов от стоимости Этапа Проектных работ,  и суммой авансового платежа, ранее уплаченного в соответствии с пунктом 4.5.2 Договора, выплачиваются в течен</w:t>
      </w:r>
      <w:r>
        <w:rPr>
          <w:shd w:fill="auto" w:val="clear"/>
        </w:rPr>
        <w:t>ие 45 (сорока пяти) календарных дней/7 (с</w:t>
      </w:r>
      <w:r>
        <w:rPr>
          <w:highlight w:val="white"/>
        </w:rPr>
        <w:t>еми) рабочих дней с даты подписания Сторонами документов, указанных в пункте 5.1 Договора, на основании счёта, выставленного Подрядчиком, и с учетом пунктов 4.5.6, 4.5.7 Договора.</w:t>
      </w:r>
      <w:bookmarkEnd w:id="17"/>
    </w:p>
    <w:p>
      <w:pPr>
        <w:pStyle w:val="ListParagraph"/>
        <w:numPr>
          <w:ilvl w:val="2"/>
          <w:numId w:val="3"/>
        </w:numPr>
        <w:shd w:val="clear" w:color="auto" w:fill="FFFFFF"/>
        <w:tabs>
          <w:tab w:val="clear" w:pos="709"/>
          <w:tab w:val="left" w:pos="1418" w:leader="none"/>
        </w:tabs>
        <w:ind w:left="0" w:firstLine="709"/>
        <w:jc w:val="both"/>
        <w:rPr/>
      </w:pPr>
      <w:r>
        <w:rPr/>
        <w:t xml:space="preserve">Последующие платежи в размере 90 (девяноста) процентов от стоимости каждого Этапа Работ </w:t>
      </w:r>
      <w:r>
        <w:rPr>
          <w:highlight w:val="white"/>
        </w:rPr>
        <w:t xml:space="preserve">(кроме Проектных работ) </w:t>
      </w:r>
      <w:r>
        <w:rPr/>
        <w:t xml:space="preserve"> выплачиваются </w:t>
      </w:r>
      <w:r>
        <w:rPr>
          <w:sz w:val="24"/>
          <w:szCs w:val="24"/>
        </w:rPr>
        <w:t>в течение 45 (сорока пяти) календарных дней /7</w:t>
      </w:r>
      <w:r>
        <w:rPr/>
        <w:t xml:space="preserve"> (семи) рабочих дней с даты подписания Сторонами документов, указанных в пункте 5.2 Договора, на основании счёта, выставленного Подрядчиком, и с учетом пунктов 4.5.6, 4.5.7 Договора. </w:t>
      </w:r>
    </w:p>
    <w:p>
      <w:pPr>
        <w:pStyle w:val="ListParagraph"/>
        <w:numPr>
          <w:ilvl w:val="2"/>
          <w:numId w:val="3"/>
        </w:numPr>
        <w:shd w:val="clear" w:color="auto" w:fill="FFFFFF"/>
        <w:tabs>
          <w:tab w:val="clear" w:pos="709"/>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3"/>
        </w:numPr>
        <w:shd w:val="clear" w:color="auto" w:fill="FFFFFF"/>
        <w:tabs>
          <w:tab w:val="clear" w:pos="709"/>
          <w:tab w:val="left" w:pos="1418" w:leader="none"/>
        </w:tabs>
        <w:ind w:left="0" w:firstLine="709"/>
        <w:jc w:val="both"/>
        <w:rPr/>
      </w:pPr>
      <w:r>
        <w:rPr/>
        <w:t xml:space="preserve"> </w:t>
      </w:r>
      <w:r>
        <w:rPr/>
        <w:t>Подрядчик обязан в течение 30 (тридцати) календарных дне</w:t>
      </w:r>
      <w:r>
        <w:rPr>
          <w:shd w:fill="auto" w:val="clear"/>
        </w:rPr>
        <w:t>й с даты, следующей за датой начала выполнения Работ, указанной в пункте 1.6 Договора</w:t>
      </w:r>
      <w:r>
        <w:rPr>
          <w:highlight w:val="lightGray"/>
        </w:rPr>
        <w:t xml:space="preserve"> </w:t>
      </w:r>
      <w:r>
        <w:rPr/>
        <w:t>предоставить Заказчику Банковскую гарантию надлежащего исполнения Договора, соответствующую требованиям, установленным разделом 7 Договора. В случае невыполнения данного обязательства и при отсутствии соглашения Сторон об ином Заказчик вправе удерживать 10% (десять процентов) стоимости выполненных Работ от каждого платежа, выплачиваемого Заказчиком Подрядчику в порядке, размерах и сроки, установленные пунктами 4.5.2, 4.5.3, 4.5.4, 4.5.5 Договора в качестве гарантийного удержания. При этом в счетах на оплату, выставленных Подрядчиком, должна быть отдельно выделена сумма Обеспечительного платежа.</w:t>
      </w:r>
    </w:p>
    <w:p>
      <w:pPr>
        <w:pStyle w:val="ListParagraph"/>
        <w:shd w:val="clear" w:color="auto" w:fill="FFFFFF"/>
        <w:tabs>
          <w:tab w:val="clear" w:pos="709"/>
          <w:tab w:val="left" w:pos="1418" w:leader="none"/>
        </w:tabs>
        <w:ind w:left="0" w:firstLine="709"/>
        <w:jc w:val="both"/>
        <w:rPr/>
      </w:pPr>
      <w:r>
        <w:rPr/>
        <w:t>Выплата Обеспечительного платежа производится в течение 3</w:t>
      </w:r>
      <w:r>
        <w:rPr>
          <w:sz w:val="24"/>
          <w:szCs w:val="24"/>
        </w:rPr>
        <w:t>0 (тридцати) календарных дней /</w:t>
      </w:r>
      <w:r>
        <w:rPr/>
        <w:t xml:space="preserve">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pPr>
        <w:pStyle w:val="ListParagraph"/>
        <w:shd w:val="clear" w:color="auto" w:fill="FFFFFF"/>
        <w:tabs>
          <w:tab w:val="clear" w:pos="709"/>
          <w:tab w:val="left" w:pos="1418" w:leader="none"/>
        </w:tabs>
        <w:ind w:left="0" w:firstLine="709"/>
        <w:jc w:val="both"/>
        <w:rPr/>
      </w:pPr>
      <w:bookmarkStart w:id="18" w:name="_Ref361834178"/>
      <w: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8"/>
    </w:p>
    <w:p>
      <w:pPr>
        <w:pStyle w:val="ListParagraph"/>
        <w:numPr>
          <w:ilvl w:val="2"/>
          <w:numId w:val="3"/>
        </w:numPr>
        <w:shd w:val="clear" w:color="auto" w:fill="FFFFFF"/>
        <w:tabs>
          <w:tab w:val="clear" w:pos="709"/>
          <w:tab w:val="left" w:pos="1418" w:leader="none"/>
        </w:tabs>
        <w:ind w:left="0" w:firstLine="709"/>
        <w:jc w:val="both"/>
        <w:rPr/>
      </w:pPr>
      <w:r>
        <w:rPr>
          <w:bCs/>
        </w:rPr>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4.5.7 Договора, в установленный срок и при этом не приступил к исполнению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shd w:val="clear" w:color="auto" w:fill="FFFFFF"/>
        <w:tabs>
          <w:tab w:val="clear" w:pos="709"/>
          <w:tab w:val="left" w:pos="1134" w:leader="none"/>
        </w:tabs>
        <w:ind w:left="0" w:firstLine="709"/>
        <w:jc w:val="both"/>
        <w:rPr>
          <w:highlight w:val="white"/>
        </w:rPr>
      </w:pPr>
      <w:r>
        <w:rPr>
          <w:highlight w:val="white"/>
        </w:rPr>
        <w:t xml:space="preserve">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Pr>
          <w:bCs/>
          <w:highlight w:val="white"/>
        </w:rPr>
        <w:t>с приложениями</w:t>
      </w:r>
      <w:r>
        <w:rPr>
          <w:highlight w:val="white"/>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3"/>
        </w:numPr>
        <w:shd w:val="clear" w:color="auto" w:fill="FFFFFF"/>
        <w:tabs>
          <w:tab w:val="clear" w:pos="709"/>
          <w:tab w:val="left" w:pos="1134" w:leader="none"/>
        </w:tabs>
        <w:ind w:left="0" w:firstLine="709"/>
        <w:jc w:val="both"/>
        <w:rPr>
          <w:bCs/>
        </w:rPr>
      </w:pPr>
      <w:r>
        <w:rPr>
          <w:bCs/>
        </w:rPr>
        <w:t>Индексация Цены Договора не допускается.</w:t>
      </w:r>
    </w:p>
    <w:p>
      <w:pPr>
        <w:pStyle w:val="ListParagraph"/>
        <w:numPr>
          <w:ilvl w:val="1"/>
          <w:numId w:val="3"/>
        </w:numPr>
        <w:shd w:val="clear" w:color="auto" w:fill="FFFFFF"/>
        <w:tabs>
          <w:tab w:val="clear" w:pos="709"/>
          <w:tab w:val="left" w:pos="1134" w:leader="none"/>
        </w:tabs>
        <w:ind w:left="0" w:firstLine="709"/>
        <w:jc w:val="both"/>
        <w:rPr>
          <w:bCs/>
        </w:rPr>
      </w:pPr>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pPr>
        <w:pStyle w:val="ListParagraph"/>
        <w:shd w:val="clear" w:color="auto" w:fill="FFFFFF"/>
        <w:tabs>
          <w:tab w:val="clear" w:pos="709"/>
          <w:tab w:val="left" w:pos="1134" w:leader="none"/>
        </w:tabs>
        <w:ind w:left="0" w:firstLine="709"/>
        <w:jc w:val="both"/>
        <w:rPr/>
      </w:pPr>
      <w: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s>
        <w:ind w:left="0" w:firstLine="567"/>
        <w:jc w:val="both"/>
        <w:rPr>
          <w:bCs/>
        </w:rPr>
      </w:pPr>
      <w:r>
        <w:rPr>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Порядок сдачи-приемки Работ</w:t>
      </w:r>
    </w:p>
    <w:p>
      <w:pPr>
        <w:pStyle w:val="ListParagraph"/>
        <w:numPr>
          <w:ilvl w:val="1"/>
          <w:numId w:val="3"/>
        </w:numPr>
        <w:shd w:val="clear" w:color="auto" w:fill="FFFFFF"/>
        <w:tabs>
          <w:tab w:val="clear" w:pos="709"/>
          <w:tab w:val="left" w:pos="1134" w:leader="none"/>
        </w:tabs>
        <w:ind w:left="0" w:firstLine="709"/>
        <w:jc w:val="both"/>
        <w:rPr>
          <w:highlight w:val="none"/>
          <w:shd w:fill="auto" w:val="clear"/>
        </w:rPr>
      </w:pPr>
      <w:r>
        <w:rPr>
          <w:bCs/>
          <w:shd w:fill="auto" w:val="clear"/>
        </w:rPr>
        <w:t>По завершении выполнения Работ по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ListParagraph"/>
        <w:numPr>
          <w:ilvl w:val="1"/>
          <w:numId w:val="3"/>
        </w:numPr>
        <w:shd w:val="clear" w:color="auto" w:fill="FFFFFF"/>
        <w:tabs>
          <w:tab w:val="left" w:pos="709" w:leader="none"/>
          <w:tab w:val="left" w:pos="1134" w:leader="none"/>
        </w:tabs>
        <w:ind w:left="0" w:firstLine="709"/>
        <w:jc w:val="both"/>
        <w:rPr/>
      </w:pPr>
      <w:bookmarkStart w:id="19" w:name="_Ref361336754"/>
      <w:bookmarkStart w:id="20" w:name="_Ref373242517"/>
      <w:bookmarkStart w:id="21" w:name="_Ref361335138"/>
      <w:r>
        <w:rPr>
          <w:bCs/>
        </w:rPr>
        <w:t xml:space="preserve">По завершении выполнения работ по каждому Этапу Работ </w:t>
      </w:r>
      <w:r>
        <w:rPr>
          <w:bCs/>
          <w:shd w:fill="auto" w:val="clear"/>
        </w:rPr>
        <w:t>(кроме Проектных работ)</w:t>
      </w:r>
      <w:r>
        <w:rPr>
          <w:bCs/>
        </w:rPr>
        <w:t>, указанного в Календарном графике выполнения Работ (Приложение № 3 к Договору), Подрядчик в тече</w:t>
      </w:r>
      <w:r>
        <w:rPr>
          <w:bCs/>
          <w:shd w:fill="auto" w:val="clear"/>
        </w:rPr>
        <w:t>ние 5</w:t>
      </w:r>
      <w:r>
        <w:rPr>
          <w:shd w:fill="auto" w:val="clear"/>
        </w:rPr>
        <w:t xml:space="preserve"> (пяти)</w:t>
      </w:r>
      <w:r>
        <w:rPr>
          <w:bCs/>
          <w:shd w:fill="auto" w:val="clear"/>
        </w:rPr>
        <w:t xml:space="preserve"> ра</w:t>
      </w:r>
      <w:r>
        <w:rPr>
          <w:bCs/>
        </w:rPr>
        <w:t>бочих дней представляет Заказчику подписанный со своей стороны в 2 (двух) экземплярах Акт освидетельствования выполненных работ по форме КС-2,</w:t>
      </w:r>
      <w:r>
        <w:rPr/>
        <w:t xml:space="preserve"> </w:t>
      </w:r>
      <w:r>
        <w:rPr>
          <w:bCs/>
        </w:rPr>
        <w:t xml:space="preserve">с приложением Приемо-сдаточной и Исполнительной документации </w:t>
      </w:r>
      <w:r>
        <w:rPr/>
        <w:t xml:space="preserve">в </w:t>
      </w:r>
      <w:r>
        <w:rPr>
          <w:shd w:fill="auto" w:val="clear"/>
        </w:rPr>
        <w:t>3 (трех) экземплярах.</w:t>
      </w:r>
      <w:bookmarkEnd w:id="19"/>
      <w:bookmarkEnd w:id="20"/>
      <w:bookmarkEnd w:id="21"/>
    </w:p>
    <w:p>
      <w:pPr>
        <w:pStyle w:val="ListParagraph"/>
        <w:numPr>
          <w:ilvl w:val="1"/>
          <w:numId w:val="3"/>
        </w:numPr>
        <w:shd w:val="clear" w:color="auto" w:fill="FFFFFF"/>
        <w:tabs>
          <w:tab w:val="clear" w:pos="709"/>
          <w:tab w:val="left" w:pos="1134" w:leader="none"/>
        </w:tabs>
        <w:ind w:left="0" w:firstLine="709"/>
        <w:jc w:val="both"/>
        <w:rPr/>
      </w:pPr>
      <w:r>
        <w:rPr>
          <w:bCs/>
        </w:rPr>
        <w:t>По завершении выполнения Работ в отношении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5"/>
        </w:numPr>
        <w:shd w:val="clear" w:color="auto" w:fill="FFFFFF"/>
        <w:tabs>
          <w:tab w:val="clear" w:pos="709"/>
          <w:tab w:val="left" w:pos="1418" w:leader="none"/>
        </w:tabs>
        <w:ind w:left="0" w:firstLine="709"/>
        <w:jc w:val="both"/>
        <w:rPr/>
      </w:pPr>
      <w:r>
        <w:rPr/>
        <w:t>Акт КС-2, Справку КС-3 в отношении Объекта</w:t>
      </w:r>
      <w:r>
        <w:rPr>
          <w:bCs/>
        </w:rPr>
        <w:t xml:space="preserve"> н</w:t>
      </w:r>
      <w:r>
        <w:rPr/>
        <w:t xml:space="preserve">а весь объем выполненных работ по Объекту в 2 (двух) экземплярах, а также электронные версии Акта </w:t>
        <w:br/>
        <w:t xml:space="preserve">КС-2 и Справки КС-3 в формате *gsfx ПК «ГРАНД Сметы» на цифровом носителе; </w:t>
      </w:r>
    </w:p>
    <w:p>
      <w:pPr>
        <w:pStyle w:val="ListParagraph"/>
        <w:numPr>
          <w:ilvl w:val="0"/>
          <w:numId w:val="15"/>
        </w:numPr>
        <w:shd w:val="clear" w:color="auto" w:fill="FFFFFF"/>
        <w:tabs>
          <w:tab w:val="clear" w:pos="709"/>
          <w:tab w:val="left" w:pos="1418" w:leader="none"/>
        </w:tabs>
        <w:ind w:left="0" w:firstLine="709"/>
        <w:jc w:val="both"/>
        <w:rPr/>
      </w:pPr>
      <w:r>
        <w:rPr>
          <w:bCs/>
        </w:rPr>
        <w:t>А</w:t>
      </w:r>
      <w:r>
        <w:rPr/>
        <w:t>кт КС-11 в 2 (двух) экземплярах.</w:t>
      </w:r>
    </w:p>
    <w:p>
      <w:pPr>
        <w:pStyle w:val="ListParagraph"/>
        <w:numPr>
          <w:ilvl w:val="1"/>
          <w:numId w:val="3"/>
        </w:numPr>
        <w:shd w:val="clear" w:color="auto" w:fill="FFFFFF"/>
        <w:tabs>
          <w:tab w:val="clear" w:pos="709"/>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5.1-5.3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3"/>
        </w:numPr>
        <w:shd w:val="clear" w:color="auto" w:fill="FFFFFF"/>
        <w:tabs>
          <w:tab w:val="clear" w:pos="709"/>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3"/>
        </w:numPr>
        <w:shd w:val="clear" w:color="auto" w:fill="FFFFFF"/>
        <w:tabs>
          <w:tab w:val="clear" w:pos="709"/>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5.1-5.3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3"/>
        </w:numPr>
        <w:shd w:val="clear" w:color="auto" w:fill="FFFFFF"/>
        <w:tabs>
          <w:tab w:val="clear" w:pos="709"/>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9"/>
          <w:tab w:val="left" w:pos="1134" w:leader="none"/>
        </w:tabs>
        <w:ind w:left="0" w:firstLine="709"/>
        <w:jc w:val="both"/>
        <w:rPr>
          <w:bCs/>
        </w:rPr>
      </w:pPr>
      <w:bookmarkStart w:id="22" w:name="_Ref361337635"/>
      <w:r>
        <w:rPr>
          <w:bCs/>
        </w:rPr>
        <w:t>Подрядчик обязан представить Заказчику универсальный передаточный документ (далее – УПД), выставленный в сроки и оформленный в порядке, установленном законодательством Российской Федерации. В случае нарушения Подрядчиком указанной обязанности он обязан произвести замену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pPr>
        <w:pStyle w:val="ListParagraph"/>
        <w:shd w:val="clear" w:color="auto" w:fill="FFFFFF"/>
        <w:tabs>
          <w:tab w:val="clear" w:pos="709"/>
          <w:tab w:val="left" w:pos="1134" w:leader="none"/>
        </w:tabs>
        <w:ind w:left="567" w:hanging="0"/>
        <w:jc w:val="both"/>
        <w:rPr/>
      </w:pPr>
      <w:r>
        <w:rPr/>
      </w:r>
    </w:p>
    <w:p>
      <w:pPr>
        <w:pStyle w:val="ListParagraph"/>
        <w:numPr>
          <w:ilvl w:val="0"/>
          <w:numId w:val="3"/>
        </w:numPr>
        <w:shd w:val="clear" w:color="auto" w:fill="FFFFFF"/>
        <w:tabs>
          <w:tab w:val="clear" w:pos="709"/>
          <w:tab w:val="left" w:pos="284" w:leader="none"/>
        </w:tabs>
        <w:ind w:left="0" w:hanging="0"/>
        <w:jc w:val="center"/>
        <w:rPr>
          <w:b/>
          <w:bCs/>
        </w:rPr>
      </w:pPr>
      <w:r>
        <w:rPr>
          <w:b/>
          <w:bCs/>
        </w:rPr>
        <w:t>Право собственности и переход рисков</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Риск случайной гибели или повреждения Результата Работ в отношении Объекта, включая Материально-технические ресурсы и оборудование,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Право собственности на Результат Работ в отношении Объекта возникает у Заказчика с момента подписания Сторонами Акта КС-11. </w:t>
      </w:r>
    </w:p>
    <w:p>
      <w:pPr>
        <w:pStyle w:val="ListParagraph"/>
        <w:numPr>
          <w:ilvl w:val="1"/>
          <w:numId w:val="3"/>
        </w:numPr>
        <w:shd w:val="clear" w:color="auto" w:fill="FFFFFF"/>
        <w:tabs>
          <w:tab w:val="clear" w:pos="709"/>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shd w:val="clear" w:color="auto" w:fill="FFFFFF"/>
        <w:tabs>
          <w:tab w:val="clear" w:pos="709"/>
          <w:tab w:val="left" w:pos="0" w:leader="none"/>
          <w:tab w:val="left" w:pos="1134" w:leader="none"/>
        </w:tabs>
        <w:ind w:left="0" w:firstLine="709"/>
        <w:jc w:val="both"/>
        <w:rPr>
          <w:bCs/>
        </w:rPr>
      </w:pPr>
      <w:r>
        <w:rPr>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Банковская гарантия</w:t>
      </w:r>
    </w:p>
    <w:p>
      <w:pPr>
        <w:pStyle w:val="ListParagraph"/>
        <w:numPr>
          <w:ilvl w:val="1"/>
          <w:numId w:val="3"/>
        </w:numPr>
        <w:shd w:val="clear" w:color="auto" w:fill="FFFFFF"/>
        <w:tabs>
          <w:tab w:val="clear" w:pos="709"/>
          <w:tab w:val="left" w:pos="1134" w:leader="none"/>
        </w:tabs>
        <w:ind w:left="0" w:firstLine="709"/>
        <w:jc w:val="both"/>
        <w:rPr>
          <w:bCs/>
        </w:rPr>
      </w:pPr>
      <w:r>
        <w:rPr>
          <w:bCs/>
        </w:rPr>
        <w:t>Банковская гарантия, предоставляемая Подрядчиком Заказчику по Договору, должна соответствовать следующим требованиям:</w:t>
      </w:r>
    </w:p>
    <w:p>
      <w:pPr>
        <w:pStyle w:val="ListParagraph"/>
        <w:numPr>
          <w:ilvl w:val="2"/>
          <w:numId w:val="3"/>
        </w:numPr>
        <w:shd w:val="clear" w:color="auto" w:fill="FFFFFF"/>
        <w:tabs>
          <w:tab w:val="clear" w:pos="709"/>
          <w:tab w:val="left" w:pos="1418" w:leader="none"/>
        </w:tabs>
        <w:ind w:left="0" w:firstLine="709"/>
        <w:jc w:val="both"/>
        <w:rPr>
          <w:bCs/>
        </w:rPr>
      </w:pPr>
      <w:r>
        <w:rPr>
          <w:bCs/>
        </w:rPr>
        <w:t>Банковская гарантия должна быть безотзывной и безусловной (гарантия по первому требованию);</w:t>
      </w:r>
    </w:p>
    <w:p>
      <w:pPr>
        <w:pStyle w:val="ListParagraph"/>
        <w:numPr>
          <w:ilvl w:val="2"/>
          <w:numId w:val="3"/>
        </w:numPr>
        <w:shd w:val="clear" w:color="auto" w:fill="FFFFFF"/>
        <w:tabs>
          <w:tab w:val="clear" w:pos="709"/>
          <w:tab w:val="left" w:pos="1418" w:leader="none"/>
        </w:tabs>
        <w:ind w:left="0" w:firstLine="709"/>
        <w:jc w:val="both"/>
        <w:rPr>
          <w:bCs/>
        </w:rPr>
      </w:pPr>
      <w:r>
        <w:rPr>
          <w:bCs/>
        </w:rPr>
        <w:t>Бенефициар по Банковской гарантии – Заказчик, принципал – Подрядчик;</w:t>
      </w:r>
    </w:p>
    <w:p>
      <w:pPr>
        <w:pStyle w:val="ListParagraph"/>
        <w:numPr>
          <w:ilvl w:val="2"/>
          <w:numId w:val="3"/>
        </w:numPr>
        <w:shd w:val="clear" w:color="auto" w:fill="FFFFFF"/>
        <w:tabs>
          <w:tab w:val="clear" w:pos="709"/>
          <w:tab w:val="left" w:pos="1418" w:leader="none"/>
        </w:tabs>
        <w:ind w:left="0" w:firstLine="709"/>
        <w:jc w:val="both"/>
        <w:rPr>
          <w:bCs/>
        </w:rPr>
      </w:pPr>
      <w:r>
        <w:rPr>
          <w:bCs/>
        </w:rPr>
        <w:t>Сумма Банковской гарантии должна быть выражена в валюте расчетов по Договору;</w:t>
      </w:r>
    </w:p>
    <w:p>
      <w:pPr>
        <w:pStyle w:val="ListParagraph"/>
        <w:numPr>
          <w:ilvl w:val="2"/>
          <w:numId w:val="3"/>
        </w:numPr>
        <w:shd w:val="clear" w:color="auto" w:fill="FFFFFF"/>
        <w:tabs>
          <w:tab w:val="clear" w:pos="709"/>
          <w:tab w:val="left" w:pos="1418" w:leader="none"/>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pPr>
        <w:pStyle w:val="ListParagraph"/>
        <w:numPr>
          <w:ilvl w:val="2"/>
          <w:numId w:val="3"/>
        </w:numPr>
        <w:shd w:val="clear" w:color="auto" w:fill="FFFFFF"/>
        <w:tabs>
          <w:tab w:val="clear" w:pos="709"/>
          <w:tab w:val="left" w:pos="1418" w:leader="none"/>
        </w:tabs>
        <w:ind w:left="0" w:firstLine="709"/>
        <w:jc w:val="both"/>
        <w:rPr>
          <w:bCs/>
        </w:rPr>
      </w:pPr>
      <w:r>
        <w:rPr>
          <w:bCs/>
        </w:rPr>
        <w:t>Сумма Банковской гарантии надлежащего исполнения обязательств по Договору в отношении Объекта – не менее 10 (десяти) процентов о</w:t>
      </w:r>
      <w:r>
        <w:rPr>
          <w:bCs/>
          <w:shd w:fill="auto" w:val="clear"/>
        </w:rPr>
        <w:t>т Цены Договора;</w:t>
      </w:r>
    </w:p>
    <w:p>
      <w:pPr>
        <w:pStyle w:val="ListParagraph"/>
        <w:numPr>
          <w:ilvl w:val="2"/>
          <w:numId w:val="3"/>
        </w:numPr>
        <w:shd w:val="clear" w:color="auto" w:fill="FFFFFF"/>
        <w:tabs>
          <w:tab w:val="clear" w:pos="709"/>
          <w:tab w:val="left" w:pos="1418" w:leader="none"/>
        </w:tabs>
        <w:ind w:left="0" w:firstLine="709"/>
        <w:jc w:val="both"/>
        <w:rPr>
          <w:bCs/>
        </w:rPr>
      </w:pPr>
      <w:r>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Pr/>
        <w:t xml:space="preserve"> </w:t>
      </w:r>
      <w:r>
        <w:rPr>
          <w:bCs/>
        </w:rPr>
        <w:t>как полностью, так и частично, с указанием на существо допущенных Подрядчиком нарушений, в том числе в случаях:</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нарушения Подрядчиком сроков</w:t>
      </w:r>
      <w:r>
        <w:rPr/>
        <w:t xml:space="preserve"> </w:t>
      </w:r>
      <w:r>
        <w:rPr>
          <w:bCs/>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введения арбитражным судом процедуры несостоятельности (банкротства)</w:t>
      </w:r>
      <w:r>
        <w:rPr/>
        <w:t xml:space="preserve"> </w:t>
      </w:r>
      <w:r>
        <w:rPr>
          <w:bCs/>
          <w:sz w:val="24"/>
          <w:szCs w:val="24"/>
        </w:rPr>
        <w:t>в отношении Подрядчика;</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5"/>
        </w:numPr>
        <w:tabs>
          <w:tab w:val="clear" w:pos="709"/>
          <w:tab w:val="left" w:pos="1418" w:leader="none"/>
        </w:tabs>
        <w:spacing w:lineRule="auto" w:line="240"/>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pPr>
        <w:pStyle w:val="ListParagraph"/>
        <w:ind w:left="0" w:firstLine="709"/>
        <w:jc w:val="both"/>
        <w:rPr>
          <w:bCs/>
        </w:rPr>
      </w:pPr>
      <w:r>
        <w:rPr>
          <w:bCs/>
        </w:rPr>
        <w:t>Вместе с требованием о предъявлении суммы обеспечения к оплате Заказчик направляет Банку-Гаранту копию Банковской гарантии.</w:t>
      </w:r>
    </w:p>
    <w:p>
      <w:pPr>
        <w:pStyle w:val="ListParagraph"/>
        <w:shd w:val="clear" w:color="auto" w:fill="FFFFFF"/>
        <w:tabs>
          <w:tab w:val="clear" w:pos="709"/>
          <w:tab w:val="left" w:pos="1418" w:leader="none"/>
        </w:tabs>
        <w:ind w:left="0" w:firstLine="709"/>
        <w:jc w:val="both"/>
        <w:rPr>
          <w:bCs/>
        </w:rPr>
      </w:pPr>
      <w:r>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pPr>
        <w:pStyle w:val="ListParagraph"/>
        <w:numPr>
          <w:ilvl w:val="2"/>
          <w:numId w:val="3"/>
        </w:numPr>
        <w:shd w:val="clear" w:color="auto" w:fill="FFFFFF"/>
        <w:tabs>
          <w:tab w:val="clear" w:pos="709"/>
          <w:tab w:val="left" w:pos="1418" w:leader="none"/>
        </w:tabs>
        <w:ind w:left="0" w:firstLine="709"/>
        <w:jc w:val="both"/>
        <w:rPr>
          <w:bCs/>
        </w:rPr>
      </w:pPr>
      <w:r>
        <w:rPr>
          <w:bCs/>
        </w:rPr>
        <w:t>Платеж по Банковской гарантии – осуществляется Банком-Гарантом в течение 10 (десяти) рабочих дней после обращения Заказчика;</w:t>
      </w:r>
    </w:p>
    <w:p>
      <w:pPr>
        <w:pStyle w:val="ListParagraph"/>
        <w:numPr>
          <w:ilvl w:val="2"/>
          <w:numId w:val="3"/>
        </w:numPr>
        <w:shd w:val="clear" w:color="auto" w:fill="FFFFFF"/>
        <w:tabs>
          <w:tab w:val="clear" w:pos="709"/>
          <w:tab w:val="left" w:pos="1418" w:leader="none"/>
        </w:tabs>
        <w:ind w:left="0" w:firstLine="709"/>
        <w:jc w:val="both"/>
        <w:rPr>
          <w:bCs/>
        </w:rPr>
      </w:pPr>
      <w:r>
        <w:rPr>
          <w:bCs/>
        </w:rPr>
        <w:t>Срок действия Банковской гарантии – не ранее 70 (семидесяти) календарных дней после наступления даты завершения Работ п</w:t>
      </w:r>
      <w:r>
        <w:rPr>
          <w:bCs/>
          <w:shd w:fill="auto" w:val="clear"/>
        </w:rPr>
        <w:t>о Договору в целом, уст</w:t>
      </w:r>
      <w:r>
        <w:rPr>
          <w:bCs/>
        </w:rPr>
        <w:t>ановленной Договором;</w:t>
      </w:r>
    </w:p>
    <w:p>
      <w:pPr>
        <w:pStyle w:val="ListParagraph"/>
        <w:numPr>
          <w:ilvl w:val="2"/>
          <w:numId w:val="3"/>
        </w:numPr>
        <w:shd w:val="clear" w:color="auto" w:fill="FFFFFF"/>
        <w:tabs>
          <w:tab w:val="clear" w:pos="709"/>
          <w:tab w:val="left" w:pos="1418" w:leader="none"/>
        </w:tabs>
        <w:ind w:left="0" w:firstLine="709"/>
        <w:jc w:val="both"/>
        <w:rPr>
          <w:bCs/>
        </w:rPr>
      </w:pPr>
      <w:r>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pPr>
        <w:pStyle w:val="ListParagraph"/>
        <w:numPr>
          <w:ilvl w:val="2"/>
          <w:numId w:val="3"/>
        </w:numPr>
        <w:shd w:val="clear" w:color="auto" w:fill="FFFFFF"/>
        <w:tabs>
          <w:tab w:val="clear" w:pos="709"/>
          <w:tab w:val="left" w:pos="1418" w:leader="none"/>
        </w:tabs>
        <w:ind w:left="0" w:firstLine="709"/>
        <w:jc w:val="both"/>
        <w:rPr>
          <w:bCs/>
        </w:rPr>
      </w:pPr>
      <w:r>
        <w:rPr>
          <w:bCs/>
        </w:rPr>
        <w:t>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 компетентного разрешать споры из Банковской гарантии;</w:t>
      </w:r>
    </w:p>
    <w:p>
      <w:pPr>
        <w:pStyle w:val="ListParagraph"/>
        <w:numPr>
          <w:ilvl w:val="2"/>
          <w:numId w:val="3"/>
        </w:numPr>
        <w:shd w:val="clear" w:color="auto" w:fill="FFFFFF"/>
        <w:tabs>
          <w:tab w:val="clear" w:pos="709"/>
          <w:tab w:val="left" w:pos="1418" w:leader="none"/>
        </w:tabs>
        <w:ind w:left="0" w:firstLine="709"/>
        <w:jc w:val="both"/>
        <w:rPr>
          <w:bCs/>
        </w:rPr>
      </w:pPr>
      <w:r>
        <w:rPr>
          <w:bCs/>
        </w:rPr>
        <w:t>Банковская гарантия не должна содержать условий или требований, противоречащих требованиям, указанным в пунктах 7.1.1-7.1.10 Договора, или делающих такие требования неисполнимыми.</w:t>
      </w:r>
    </w:p>
    <w:p>
      <w:pPr>
        <w:pStyle w:val="ListParagraph"/>
        <w:numPr>
          <w:ilvl w:val="1"/>
          <w:numId w:val="3"/>
        </w:numPr>
        <w:ind w:left="0" w:firstLine="709"/>
        <w:jc w:val="both"/>
        <w:rPr>
          <w:bCs/>
        </w:rPr>
      </w:pPr>
      <w:r>
        <w:rPr>
          <w:bCs/>
        </w:rPr>
        <w:t>Банк, выдавший Банковскую гарантию, должен соответствовать критериям, установленным в Приложении №9 к Договору.</w:t>
      </w:r>
    </w:p>
    <w:p>
      <w:pPr>
        <w:pStyle w:val="ListParagraph"/>
        <w:numPr>
          <w:ilvl w:val="1"/>
          <w:numId w:val="3"/>
        </w:numPr>
        <w:shd w:val="clear" w:color="auto" w:fill="FFFFFF"/>
        <w:tabs>
          <w:tab w:val="clear" w:pos="709"/>
          <w:tab w:val="left" w:pos="1134" w:leader="none"/>
        </w:tabs>
        <w:ind w:left="0" w:firstLine="709"/>
        <w:jc w:val="both"/>
        <w:rPr>
          <w:bCs/>
        </w:rPr>
      </w:pPr>
      <w:r>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1"/>
          <w:numId w:val="3"/>
        </w:numPr>
        <w:shd w:val="clear" w:color="auto" w:fill="FFFFFF"/>
        <w:tabs>
          <w:tab w:val="clear" w:pos="709"/>
          <w:tab w:val="left" w:pos="1134" w:leader="none"/>
        </w:tabs>
        <w:ind w:left="0" w:firstLine="709"/>
        <w:jc w:val="both"/>
        <w:rPr>
          <w:bCs/>
        </w:rPr>
      </w:pPr>
      <w:r>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pPr>
        <w:pStyle w:val="ListParagraph"/>
        <w:numPr>
          <w:ilvl w:val="1"/>
          <w:numId w:val="3"/>
        </w:numPr>
        <w:shd w:val="clear" w:color="auto" w:fill="FFFFFF"/>
        <w:tabs>
          <w:tab w:val="clear" w:pos="709"/>
          <w:tab w:val="left" w:pos="1134" w:leader="none"/>
        </w:tabs>
        <w:ind w:left="0" w:firstLine="709"/>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3"/>
        </w:numPr>
        <w:shd w:val="clear" w:color="auto" w:fill="FFFFFF"/>
        <w:tabs>
          <w:tab w:val="clear" w:pos="709"/>
          <w:tab w:val="left" w:pos="1134" w:leader="none"/>
        </w:tabs>
        <w:ind w:left="0" w:firstLine="709"/>
        <w:jc w:val="both"/>
        <w:rPr>
          <w:bCs/>
        </w:rPr>
      </w:pPr>
      <w:r>
        <w:rPr>
          <w:bCs/>
        </w:rPr>
        <w:t>В случаях</w:t>
      </w:r>
      <w:r>
        <w:rPr>
          <w:bCs/>
          <w:lang w:val="en-US"/>
        </w:rPr>
        <w:t>:</w:t>
      </w:r>
      <w:r>
        <w:rPr>
          <w:bCs/>
        </w:rPr>
        <w:t xml:space="preserve"> </w:t>
      </w:r>
    </w:p>
    <w:p>
      <w:pPr>
        <w:pStyle w:val="ListParagraph"/>
        <w:numPr>
          <w:ilvl w:val="1"/>
          <w:numId w:val="17"/>
        </w:numPr>
        <w:shd w:val="clear" w:color="auto" w:fill="FFFFFF"/>
        <w:tabs>
          <w:tab w:val="clear" w:pos="709"/>
          <w:tab w:val="left" w:pos="1134" w:leader="none"/>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7"/>
        </w:numPr>
        <w:shd w:val="clear" w:color="auto" w:fill="FFFFFF"/>
        <w:tabs>
          <w:tab w:val="clear" w:pos="709"/>
          <w:tab w:val="left" w:pos="1134" w:leader="none"/>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9"/>
          <w:tab w:val="left" w:pos="1134" w:leader="none"/>
        </w:tabs>
        <w:ind w:left="0" w:firstLine="709"/>
        <w:jc w:val="both"/>
        <w:rPr>
          <w:bCs/>
        </w:rPr>
      </w:pPr>
      <w:r>
        <w:rPr>
          <w:bCs/>
        </w:rPr>
        <w:t>Подрядчик обязан предоставить Заказчику новую Банковскую гарантию</w:t>
      </w:r>
      <w:r>
        <w:rP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left="0" w:firstLine="709"/>
        <w:jc w:val="both"/>
        <w:rPr>
          <w:bCs/>
        </w:rPr>
      </w:pPr>
      <w:r>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FootnoteReference"/>
          <w:bCs/>
        </w:rPr>
        <w:footnoteReference w:id="2"/>
      </w:r>
      <w:r>
        <w:rPr>
          <w:bCs/>
        </w:rPr>
        <w:t xml:space="preserve"> при выплате каждого платежа, причитающегося Подрядчику, до полного зачета неотработанного аванса </w:t>
      </w:r>
      <w:r>
        <w:rPr/>
        <w:t>и / или сумму ранее выплаченного Обеспечительного платежа</w:t>
      </w:r>
      <w:r>
        <w:rPr>
          <w:rStyle w:val="FootnoteReference"/>
        </w:rPr>
        <w:footnoteReference w:id="3"/>
      </w:r>
      <w:r>
        <w:rPr/>
        <w:t xml:space="preserve"> при выплате каждого платежа, причитающегося Подрядчику.</w:t>
      </w:r>
    </w:p>
    <w:p>
      <w:pPr>
        <w:pStyle w:val="ListParagraph"/>
        <w:numPr>
          <w:ilvl w:val="1"/>
          <w:numId w:val="3"/>
        </w:numPr>
        <w:shd w:val="clear" w:color="auto" w:fill="FFFFFF"/>
        <w:tabs>
          <w:tab w:val="clear" w:pos="709"/>
          <w:tab w:val="left" w:pos="1134" w:leader="none"/>
        </w:tabs>
        <w:ind w:left="0" w:firstLine="709"/>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Положения пункта 4.5.1 Договора применяются, если совокупный размер авансовых платежей, уплаченных и подлежащих уплате по Договору в соответствии </w:t>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w:t>
      </w:r>
      <w:r>
        <w:rPr>
          <w:bCs/>
          <w:shd w:fill="auto" w:val="clear"/>
        </w:rPr>
        <w:t>и 4.5.2, 4.5.3 Дог</w:t>
      </w:r>
      <w:r>
        <w:rPr>
          <w:bCs/>
        </w:rPr>
        <w:t>овора.</w:t>
      </w:r>
    </w:p>
    <w:p>
      <w:pPr>
        <w:pStyle w:val="ListParagraph"/>
        <w:numPr>
          <w:ilvl w:val="1"/>
          <w:numId w:val="3"/>
        </w:numPr>
        <w:shd w:val="clear" w:color="auto" w:fill="FFFFFF"/>
        <w:tabs>
          <w:tab w:val="clear" w:pos="709"/>
          <w:tab w:val="left" w:pos="1134" w:leader="none"/>
        </w:tabs>
        <w:ind w:left="0" w:firstLine="709"/>
        <w:jc w:val="both"/>
        <w:rPr>
          <w:bCs/>
        </w:rPr>
      </w:pPr>
      <w:r>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pPr>
        <w:pStyle w:val="ListParagraph"/>
        <w:shd w:val="clear" w:color="auto" w:fill="FFFFFF"/>
        <w:tabs>
          <w:tab w:val="clear" w:pos="709"/>
          <w:tab w:val="left" w:pos="284" w:leader="none"/>
        </w:tabs>
        <w:ind w:left="0" w:hanging="0"/>
        <w:jc w:val="center"/>
        <w:rPr>
          <w:b/>
          <w:bCs/>
        </w:rPr>
      </w:pPr>
      <w:r>
        <w:rPr>
          <w:b/>
          <w:bCs/>
        </w:rPr>
      </w:r>
    </w:p>
    <w:p>
      <w:pPr>
        <w:pStyle w:val="ListParagraph"/>
        <w:numPr>
          <w:ilvl w:val="0"/>
          <w:numId w:val="3"/>
        </w:numPr>
        <w:shd w:val="clear" w:color="auto" w:fill="FFFFFF"/>
        <w:tabs>
          <w:tab w:val="clear" w:pos="709"/>
          <w:tab w:val="left" w:pos="284" w:leader="none"/>
        </w:tabs>
        <w:ind w:left="0" w:hanging="0"/>
        <w:jc w:val="center"/>
        <w:rPr>
          <w:b/>
          <w:bCs/>
        </w:rPr>
      </w:pPr>
      <w:r>
        <w:rPr>
          <w:b/>
          <w:bCs/>
        </w:rPr>
        <w:t>Ответственность Сторон</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3"/>
        </w:numPr>
        <w:tabs>
          <w:tab w:val="clear" w:pos="709"/>
          <w:tab w:val="left" w:pos="1134" w:leader="none"/>
        </w:tabs>
        <w:spacing w:lineRule="auto" w:line="240"/>
        <w:ind w:left="0" w:firstLine="709"/>
        <w:rPr>
          <w:bCs/>
          <w:sz w:val="24"/>
          <w:szCs w:val="24"/>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3"/>
        </w:numPr>
        <w:tabs>
          <w:tab w:val="clear" w:pos="709"/>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Pr>
          <w:sz w:val="24"/>
          <w:szCs w:val="24"/>
        </w:rPr>
        <w:t>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3"/>
        </w:numPr>
        <w:tabs>
          <w:tab w:val="clear" w:pos="709"/>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Результата Работ, Заказчик вправе требовать уплаты Подрядчиком:</w:t>
      </w:r>
    </w:p>
    <w:p>
      <w:pPr>
        <w:pStyle w:val="ListParagraph"/>
        <w:numPr>
          <w:ilvl w:val="2"/>
          <w:numId w:val="3"/>
        </w:numPr>
        <w:shd w:val="clear" w:color="auto" w:fill="FFFFFF"/>
        <w:tabs>
          <w:tab w:val="left" w:pos="0" w:leader="none"/>
          <w:tab w:val="left" w:pos="709" w:leader="none"/>
          <w:tab w:val="left" w:pos="1418" w:leader="none"/>
        </w:tabs>
        <w:ind w:left="0" w:firstLine="709"/>
        <w:jc w:val="both"/>
        <w:rPr>
          <w:bCs/>
        </w:rPr>
      </w:pPr>
      <w:r>
        <w:rPr>
          <w:rFonts w:eastAsia="Calibri"/>
          <w:bCs/>
        </w:rPr>
        <w:t>Неустойки в размере 0,1 (ноль целых и одна десятая) процента от цены Этапа Работ за каждый день просрочки выполнения Работ;</w:t>
      </w:r>
    </w:p>
    <w:p>
      <w:pPr>
        <w:pStyle w:val="ListParagraph"/>
        <w:numPr>
          <w:ilvl w:val="2"/>
          <w:numId w:val="3"/>
        </w:numPr>
        <w:shd w:val="clear" w:color="auto" w:fill="FFFFFF"/>
        <w:tabs>
          <w:tab w:val="left" w:pos="0" w:leader="none"/>
          <w:tab w:val="left" w:pos="709" w:leader="none"/>
          <w:tab w:val="left" w:pos="1418" w:leader="none"/>
        </w:tabs>
        <w:ind w:left="0" w:firstLine="709"/>
        <w:jc w:val="both"/>
        <w:rPr>
          <w:bCs/>
        </w:rPr>
      </w:pPr>
      <w:r>
        <w:rPr>
          <w:rFonts w:eastAsia="Calibri"/>
          <w:bCs/>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rPr>
        <w:t xml:space="preserve">в целом </w:t>
      </w:r>
      <w:r>
        <w:rPr>
          <w:rFonts w:eastAsia="Calibri"/>
          <w:bCs/>
        </w:rPr>
        <w:t>по Договору;</w:t>
      </w:r>
    </w:p>
    <w:p>
      <w:pPr>
        <w:pStyle w:val="ListParagraph"/>
        <w:numPr>
          <w:ilvl w:val="2"/>
          <w:numId w:val="3"/>
        </w:numPr>
        <w:shd w:val="clear" w:color="auto" w:fill="FFFFFF"/>
        <w:tabs>
          <w:tab w:val="left" w:pos="0" w:leader="none"/>
          <w:tab w:val="left" w:pos="709" w:leader="none"/>
          <w:tab w:val="left" w:pos="1418" w:leader="none"/>
        </w:tabs>
        <w:ind w:left="0" w:firstLine="709"/>
        <w:jc w:val="both"/>
        <w:rPr>
          <w:bCs/>
        </w:rPr>
      </w:pPr>
      <w:r>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rPr>
        <w:t xml:space="preserve">в целом </w:t>
      </w:r>
      <w:r>
        <w:rPr>
          <w:rFonts w:eastAsia="Calibri"/>
          <w:bCs/>
        </w:rPr>
        <w:t>по Договору.</w:t>
      </w:r>
    </w:p>
    <w:p>
      <w:pPr>
        <w:pStyle w:val="Normal"/>
        <w:numPr>
          <w:ilvl w:val="1"/>
          <w:numId w:val="3"/>
        </w:numPr>
        <w:tabs>
          <w:tab w:val="clear" w:pos="709"/>
          <w:tab w:val="left" w:pos="1134" w:leader="none"/>
        </w:tabs>
        <w:spacing w:lineRule="auto" w:line="240"/>
        <w:ind w:left="0" w:firstLine="709"/>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3"/>
        </w:numPr>
        <w:shd w:val="clear" w:color="auto" w:fill="FFFFFF"/>
        <w:tabs>
          <w:tab w:val="clear" w:pos="709"/>
          <w:tab w:val="left" w:pos="1134" w:leader="none"/>
        </w:tabs>
        <w:ind w:left="0" w:firstLine="709"/>
        <w:jc w:val="both"/>
        <w:rPr>
          <w:bCs/>
        </w:rPr>
      </w:pPr>
      <w:r>
        <w:rPr>
          <w:bCs/>
        </w:rPr>
        <w:t>Если в результате составления и выставления Подрядчиком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УПД,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3"/>
        </w:numPr>
        <w:shd w:val="clear" w:color="auto" w:fill="FFFFFF"/>
        <w:tabs>
          <w:tab w:val="clear" w:pos="709"/>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9"/>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9"/>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rPr>
      </w:pPr>
      <w:r>
        <w:rPr>
          <w:b/>
          <w:color w:val="000000"/>
          <w:sz w:val="24"/>
          <w:szCs w:val="24"/>
        </w:rPr>
      </w:r>
    </w:p>
    <w:p>
      <w:pPr>
        <w:pStyle w:val="ListParagraph"/>
        <w:numPr>
          <w:ilvl w:val="0"/>
          <w:numId w:val="3"/>
        </w:numPr>
        <w:shd w:val="clear" w:color="auto" w:fill="FFFFFF"/>
        <w:tabs>
          <w:tab w:val="clear" w:pos="709"/>
          <w:tab w:val="left" w:pos="284" w:leader="none"/>
        </w:tabs>
        <w:ind w:left="0" w:hanging="0"/>
        <w:jc w:val="center"/>
        <w:rPr>
          <w:b/>
          <w:bCs/>
        </w:rPr>
      </w:pPr>
      <w:r>
        <w:rPr>
          <w:b/>
          <w:bCs/>
        </w:rPr>
        <w:t xml:space="preserve">Гарантии качества Результата </w:t>
      </w:r>
      <w:r>
        <w:rPr>
          <w:b/>
          <w:bCs/>
          <w:lang w:val="en-US"/>
        </w:rPr>
        <w:t>Р</w:t>
      </w:r>
      <w:r>
        <w:rPr>
          <w:b/>
          <w:bCs/>
        </w:rPr>
        <w:t>абот</w:t>
      </w:r>
    </w:p>
    <w:p>
      <w:pPr>
        <w:pStyle w:val="Normal"/>
        <w:numPr>
          <w:ilvl w:val="1"/>
          <w:numId w:val="3"/>
        </w:numPr>
        <w:tabs>
          <w:tab w:val="clear" w:pos="709"/>
          <w:tab w:val="left" w:pos="1134" w:leader="none"/>
        </w:tabs>
        <w:spacing w:lineRule="auto" w:line="240"/>
        <w:ind w:left="0" w:firstLine="709"/>
        <w:rPr>
          <w:bCs/>
          <w:sz w:val="24"/>
          <w:szCs w:val="24"/>
        </w:rPr>
      </w:pPr>
      <w:bookmarkStart w:id="23" w:name="_Ref361337777"/>
      <w:r>
        <w:rPr>
          <w:sz w:val="24"/>
          <w:szCs w:val="24"/>
        </w:rPr>
        <w:t>Гарантийный</w:t>
      </w:r>
      <w:r>
        <w:rPr>
          <w:bCs/>
          <w:sz w:val="24"/>
          <w:szCs w:val="24"/>
        </w:rPr>
        <w:t xml:space="preserve"> срок по Договору составляет 24</w:t>
      </w:r>
      <w:r>
        <w:rPr>
          <w:sz w:val="24"/>
          <w:szCs w:val="24"/>
        </w:rPr>
        <w:t xml:space="preserve">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КС-11.</w:t>
      </w:r>
      <w:bookmarkEnd w:id="23"/>
      <w:r>
        <w:rPr>
          <w:bCs/>
          <w:sz w:val="24"/>
          <w:szCs w:val="24"/>
        </w:rPr>
        <w:t xml:space="preserve"> Гарантийный срок может быть продлен в соответствии с условиями Договора. </w:t>
      </w:r>
    </w:p>
    <w:p>
      <w:pPr>
        <w:pStyle w:val="ListParagraph"/>
        <w:numPr>
          <w:ilvl w:val="1"/>
          <w:numId w:val="3"/>
        </w:numPr>
        <w:shd w:val="clear" w:color="auto" w:fill="FFFFFF"/>
        <w:tabs>
          <w:tab w:val="clear" w:pos="709"/>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3"/>
        </w:numPr>
        <w:shd w:val="clear" w:color="auto" w:fill="FFFFFF"/>
        <w:tabs>
          <w:tab w:val="clear" w:pos="709"/>
          <w:tab w:val="left" w:pos="1134" w:leader="none"/>
        </w:tabs>
        <w:ind w:left="0" w:firstLine="709"/>
        <w:jc w:val="both"/>
        <w:rPr>
          <w:bCs/>
        </w:rPr>
      </w:pPr>
      <w:bookmarkStart w:id="2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pPr>
        <w:pStyle w:val="ListParagraph"/>
        <w:numPr>
          <w:ilvl w:val="1"/>
          <w:numId w:val="3"/>
        </w:numPr>
        <w:shd w:val="clear" w:color="auto" w:fill="FFFFFF"/>
        <w:tabs>
          <w:tab w:val="clear" w:pos="709"/>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5" w:name="OLE_LINK6"/>
      <w:bookmarkStart w:id="26" w:name="OLE_LINK5"/>
      <w:r>
        <w:rPr>
          <w:bCs/>
        </w:rPr>
        <w:t>Акте о недостатках, составленном в порядке, установленном пунктом 9.5 Договора</w:t>
      </w:r>
      <w:bookmarkEnd w:id="25"/>
      <w:bookmarkEnd w:id="26"/>
      <w:r>
        <w:rPr>
          <w:bCs/>
        </w:rPr>
        <w:t>.</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3"/>
        </w:numPr>
        <w:shd w:val="clear" w:color="auto" w:fill="FFFFFF"/>
        <w:tabs>
          <w:tab w:val="clear" w:pos="709"/>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pPr>
        <w:pStyle w:val="ListParagraph"/>
        <w:numPr>
          <w:ilvl w:val="1"/>
          <w:numId w:val="3"/>
        </w:numPr>
        <w:shd w:val="clear" w:color="auto" w:fill="FFFFFF"/>
        <w:tabs>
          <w:tab w:val="clear" w:pos="709"/>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9"/>
          <w:tab w:val="left" w:pos="566" w:leader="none"/>
        </w:tabs>
        <w:spacing w:lineRule="auto" w:line="240"/>
        <w:ind w:hanging="0"/>
        <w:rPr>
          <w:color w:val="000000"/>
          <w:sz w:val="24"/>
          <w:szCs w:val="24"/>
        </w:rPr>
      </w:pPr>
      <w:r>
        <w:rPr>
          <w:color w:val="000000"/>
          <w:sz w:val="24"/>
          <w:szCs w:val="24"/>
        </w:rPr>
      </w:r>
    </w:p>
    <w:p>
      <w:pPr>
        <w:pStyle w:val="ListParagraph"/>
        <w:numPr>
          <w:ilvl w:val="0"/>
          <w:numId w:val="3"/>
        </w:numPr>
        <w:shd w:val="clear" w:color="auto" w:fill="FFFFFF"/>
        <w:tabs>
          <w:tab w:val="clear" w:pos="709"/>
          <w:tab w:val="left" w:pos="426" w:leader="none"/>
        </w:tabs>
        <w:ind w:left="0" w:hanging="0"/>
        <w:jc w:val="center"/>
        <w:rPr>
          <w:b/>
          <w:bCs/>
        </w:rPr>
      </w:pPr>
      <w:r>
        <w:rPr>
          <w:b/>
          <w:bCs/>
        </w:rPr>
        <w:t>Исключительные права и патенты</w:t>
      </w:r>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shd w:val="clear" w:color="auto" w:fill="FFFFFF"/>
        <w:tabs>
          <w:tab w:val="clear" w:pos="709"/>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9"/>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shd w:val="clear" w:color="auto" w:fill="FFFFFF"/>
        <w:tabs>
          <w:tab w:val="clear" w:pos="709"/>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9"/>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3"/>
        </w:numPr>
        <w:shd w:val="clear" w:color="auto" w:fill="FFFFFF"/>
        <w:tabs>
          <w:tab w:val="clear" w:pos="709"/>
          <w:tab w:val="left" w:pos="426" w:leader="none"/>
        </w:tabs>
        <w:ind w:left="0" w:hanging="0"/>
        <w:jc w:val="center"/>
        <w:rPr>
          <w:b/>
          <w:bCs/>
        </w:rPr>
      </w:pPr>
      <w:r>
        <w:rPr>
          <w:b/>
          <w:bCs/>
        </w:rPr>
        <w:t>Конфиденциальность</w:t>
      </w:r>
    </w:p>
    <w:p>
      <w:pPr>
        <w:pStyle w:val="ListParagraph"/>
        <w:numPr>
          <w:ilvl w:val="1"/>
          <w:numId w:val="3"/>
        </w:numPr>
        <w:shd w:val="clear" w:color="auto" w:fill="FFFFFF"/>
        <w:tabs>
          <w:tab w:val="clear" w:pos="709"/>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9"/>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бизнес-планы;</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9"/>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9"/>
          <w:tab w:val="left" w:pos="1134" w:leader="none"/>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7"/>
      <w:r>
        <w:rPr>
          <w:bCs/>
        </w:rPr>
        <w:t xml:space="preserve"> </w:t>
      </w:r>
    </w:p>
    <w:p>
      <w:pPr>
        <w:pStyle w:val="ListParagraph"/>
        <w:numPr>
          <w:ilvl w:val="2"/>
          <w:numId w:val="3"/>
        </w:numPr>
        <w:shd w:val="clear" w:color="auto" w:fill="FFFFFF"/>
        <w:tabs>
          <w:tab w:val="clear" w:pos="709"/>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pPr>
        <w:pStyle w:val="ListParagraph"/>
        <w:numPr>
          <w:ilvl w:val="2"/>
          <w:numId w:val="3"/>
        </w:numPr>
        <w:shd w:val="clear" w:color="auto" w:fill="FFFFFF"/>
        <w:tabs>
          <w:tab w:val="clear" w:pos="709"/>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9"/>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9"/>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9"/>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9"/>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9"/>
          <w:tab w:val="left" w:pos="1701" w:leader="none"/>
        </w:tabs>
        <w:ind w:left="0" w:firstLine="709"/>
        <w:jc w:val="both"/>
        <w:rPr>
          <w:bCs/>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pPr>
        <w:pStyle w:val="ListParagraph"/>
        <w:numPr>
          <w:ilvl w:val="2"/>
          <w:numId w:val="3"/>
        </w:numPr>
        <w:shd w:val="clear" w:color="auto" w:fill="FFFFFF"/>
        <w:tabs>
          <w:tab w:val="clear" w:pos="709"/>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9"/>
          <w:tab w:val="left" w:pos="1134" w:leader="none"/>
        </w:tabs>
        <w:ind w:left="0" w:firstLine="709"/>
        <w:jc w:val="both"/>
        <w:rPr>
          <w:bCs/>
        </w:rPr>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pPr>
        <w:pStyle w:val="ListParagraph"/>
        <w:numPr>
          <w:ilvl w:val="1"/>
          <w:numId w:val="3"/>
        </w:numPr>
        <w:shd w:val="clear" w:color="auto" w:fill="FFFFFF"/>
        <w:tabs>
          <w:tab w:val="clear" w:pos="709"/>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bCs/>
        </w:rPr>
      </w:pPr>
      <w:r>
        <w:rPr>
          <w:b/>
          <w:bCs/>
        </w:rPr>
      </w:r>
    </w:p>
    <w:p>
      <w:pPr>
        <w:pStyle w:val="ListParagraph"/>
        <w:numPr>
          <w:ilvl w:val="0"/>
          <w:numId w:val="3"/>
        </w:numPr>
        <w:shd w:val="clear" w:color="auto" w:fill="FFFFFF"/>
        <w:tabs>
          <w:tab w:val="clear" w:pos="709"/>
          <w:tab w:val="left" w:pos="426" w:leader="none"/>
        </w:tabs>
        <w:ind w:left="0" w:hanging="0"/>
        <w:jc w:val="center"/>
        <w:rPr>
          <w:bCs/>
        </w:rPr>
      </w:pPr>
      <w:r>
        <w:rPr>
          <w:b/>
          <w:bCs/>
        </w:rPr>
        <w:t>Разрешение споров</w:t>
      </w:r>
    </w:p>
    <w:p>
      <w:pPr>
        <w:pStyle w:val="ListParagraph"/>
        <w:numPr>
          <w:ilvl w:val="1"/>
          <w:numId w:val="3"/>
        </w:numPr>
        <w:shd w:val="clear" w:color="auto" w:fill="FFFFFF"/>
        <w:tabs>
          <w:tab w:val="clear" w:pos="709"/>
          <w:tab w:val="left" w:pos="1134"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9"/>
          <w:tab w:val="left" w:pos="1134" w:leader="none"/>
        </w:tabs>
        <w:ind w:left="0" w:firstLine="709"/>
        <w:jc w:val="both"/>
        <w:rPr>
          <w:bCs/>
        </w:rPr>
      </w:pPr>
      <w:r>
        <w:rPr>
          <w:bCs/>
        </w:rPr>
        <w:t>Споры, указанные в пункте 12.1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18.8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shd w:val="clear" w:color="auto" w:fill="FFFFFF"/>
        <w:tabs>
          <w:tab w:val="clear" w:pos="709"/>
          <w:tab w:val="left" w:pos="1134"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9"/>
          <w:tab w:val="left" w:pos="1134" w:leader="none"/>
          <w:tab w:val="left" w:pos="1418" w:leader="none"/>
        </w:tabs>
        <w:ind w:hanging="0"/>
        <w:rPr>
          <w:bCs/>
        </w:rPr>
      </w:pPr>
      <w:r>
        <w:rPr>
          <w:bCs/>
        </w:rPr>
      </w:r>
    </w:p>
    <w:p>
      <w:pPr>
        <w:pStyle w:val="ListParagraph"/>
        <w:numPr>
          <w:ilvl w:val="0"/>
          <w:numId w:val="3"/>
        </w:numPr>
        <w:shd w:val="clear" w:color="auto" w:fill="FFFFFF"/>
        <w:tabs>
          <w:tab w:val="clear" w:pos="709"/>
          <w:tab w:val="left" w:pos="426" w:leader="none"/>
        </w:tabs>
        <w:ind w:left="0" w:hanging="0"/>
        <w:jc w:val="center"/>
        <w:rPr>
          <w:bCs/>
          <w:color w:val="000000"/>
        </w:rPr>
      </w:pPr>
      <w:r>
        <w:rPr>
          <w:b/>
          <w:bCs/>
        </w:rPr>
        <w:t>Антикоррупционная оговорка</w:t>
      </w:r>
    </w:p>
    <w:p>
      <w:pPr>
        <w:pStyle w:val="ListParagraph"/>
        <w:numPr>
          <w:ilvl w:val="1"/>
          <w:numId w:val="3"/>
        </w:numPr>
        <w:shd w:val="clear" w:color="auto" w:fill="FFFFFF"/>
        <w:tabs>
          <w:tab w:val="clear" w:pos="709"/>
          <w:tab w:val="left" w:pos="1134"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3"/>
        </w:numPr>
        <w:shd w:val="clear" w:color="auto" w:fill="FFFFFF"/>
        <w:tabs>
          <w:tab w:val="clear" w:pos="709"/>
          <w:tab w:val="left" w:pos="1134"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3"/>
        </w:numPr>
        <w:shd w:val="clear" w:color="auto" w:fill="FFFFFF"/>
        <w:tabs>
          <w:tab w:val="clear" w:pos="709"/>
          <w:tab w:val="left" w:pos="1134" w:leader="none"/>
        </w:tabs>
        <w:ind w:left="0" w:firstLine="709"/>
        <w:jc w:val="both"/>
        <w:rPr>
          <w:bCs/>
          <w:color w:val="000000"/>
        </w:rPr>
      </w:pPr>
      <w:r>
        <w:rPr>
          <w:color w:val="000000"/>
        </w:rPr>
        <w:t xml:space="preserve">Каналы связи Линия доверия Группы РусГидро: </w:t>
      </w:r>
    </w:p>
    <w:p>
      <w:pPr>
        <w:pStyle w:val="ListParagraph"/>
        <w:numPr>
          <w:ilvl w:val="2"/>
          <w:numId w:val="3"/>
        </w:numPr>
        <w:shd w:val="clear" w:color="auto" w:fill="FFFFFF"/>
        <w:tabs>
          <w:tab w:val="clear" w:pos="709"/>
          <w:tab w:val="left" w:pos="1134" w:leader="none"/>
        </w:tabs>
        <w:ind w:left="0" w:firstLine="709"/>
        <w:jc w:val="both"/>
        <w:rPr>
          <w:bCs/>
          <w:color w:val="000000"/>
        </w:rPr>
      </w:pPr>
      <w:r>
        <w:rPr/>
        <w:t xml:space="preserve">Электронная почта: </w:t>
      </w:r>
      <w:hyperlink r:id="rId2" w:tgtFrame="mailto:ld@rushydro.ru">
        <w:r>
          <w:rPr>
            <w:rStyle w:val="Hyperlink"/>
          </w:rPr>
          <w:t>ld@rushydro.ru</w:t>
        </w:r>
      </w:hyperlink>
      <w:r>
        <w:rPr/>
        <w:t>.</w:t>
      </w:r>
    </w:p>
    <w:p>
      <w:pPr>
        <w:pStyle w:val="ListParagraph"/>
        <w:numPr>
          <w:ilvl w:val="2"/>
          <w:numId w:val="3"/>
        </w:numPr>
        <w:shd w:val="clear" w:color="auto" w:fill="FFFFFF"/>
        <w:tabs>
          <w:tab w:val="clear" w:pos="709"/>
          <w:tab w:val="left" w:pos="1134" w:leader="none"/>
        </w:tabs>
        <w:ind w:left="0" w:firstLine="709"/>
        <w:jc w:val="both"/>
        <w:rPr>
          <w:bCs/>
          <w:color w:val="000000"/>
        </w:rPr>
      </w:pPr>
      <w:r>
        <w:rPr/>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3"/>
        </w:numPr>
        <w:shd w:val="clear" w:color="auto" w:fill="FFFFFF"/>
        <w:tabs>
          <w:tab w:val="clear" w:pos="709"/>
          <w:tab w:val="left" w:pos="1134" w:leader="none"/>
        </w:tabs>
        <w:ind w:left="0" w:firstLine="709"/>
        <w:jc w:val="both"/>
        <w:rPr>
          <w:bCs/>
          <w:color w:val="000000"/>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sz w:val="24"/>
          <w:szCs w:val="24"/>
        </w:rPr>
      </w:pPr>
      <w:r>
        <w:rPr>
          <w:b/>
          <w:sz w:val="24"/>
          <w:szCs w:val="24"/>
        </w:rPr>
      </w:r>
    </w:p>
    <w:p>
      <w:pPr>
        <w:pStyle w:val="ListParagraph"/>
        <w:numPr>
          <w:ilvl w:val="0"/>
          <w:numId w:val="3"/>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tabs>
          <w:tab w:val="clear" w:pos="709"/>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shd w:val="clear" w:color="auto" w:fill="FFFFFF"/>
        <w:tabs>
          <w:tab w:val="clear" w:pos="709"/>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9"/>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3"/>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3"/>
        </w:numPr>
        <w:shd w:val="clear" w:color="auto" w:fill="FFFFFF"/>
        <w:tabs>
          <w:tab w:val="clear" w:pos="709"/>
          <w:tab w:val="left" w:pos="1134" w:leader="none"/>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2"/>
        </w:numPr>
        <w:shd w:val="clear" w:color="auto" w:fill="FFFFFF"/>
        <w:tabs>
          <w:tab w:val="clear" w:pos="709"/>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3" w:tgtFrame="consultantplus://offline/ref=94D5CE8889791A29DE57299515463A9D6134D8237B999C803E6F853513x2A2P">
        <w:r>
          <w:rPr>
            <w:bCs/>
          </w:rPr>
          <w:t>№ 18162/09</w:t>
        </w:r>
      </w:hyperlink>
      <w:r>
        <w:rPr>
          <w:bCs/>
        </w:rPr>
        <w:t xml:space="preserve"> и от 25.05.2010 </w:t>
      </w:r>
      <w:hyperlink r:id="rId4"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2"/>
        </w:numPr>
        <w:shd w:val="clear" w:color="auto" w:fill="FFFFFF"/>
        <w:tabs>
          <w:tab w:val="clear" w:pos="709"/>
          <w:tab w:val="left" w:pos="1134" w:leader="none"/>
        </w:tabs>
        <w:ind w:left="0" w:firstLine="709"/>
        <w:jc w:val="both"/>
        <w:rPr>
          <w:bCs/>
        </w:rPr>
      </w:pPr>
      <w:r>
        <w:rPr>
          <w:bCs/>
        </w:rPr>
        <w:t xml:space="preserve">соответствующие </w:t>
      </w:r>
      <w:hyperlink r:id="rId5"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pPr>
        <w:pStyle w:val="ListParagraph"/>
        <w:numPr>
          <w:ilvl w:val="1"/>
          <w:numId w:val="3"/>
        </w:numPr>
        <w:shd w:val="clear" w:color="auto" w:fill="FFFFFF"/>
        <w:tabs>
          <w:tab w:val="clear" w:pos="709"/>
          <w:tab w:val="left" w:pos="1134" w:leader="none"/>
        </w:tabs>
        <w:ind w:left="0" w:firstLine="709"/>
        <w:jc w:val="both"/>
        <w:rPr>
          <w:bCs/>
        </w:rPr>
      </w:pPr>
      <w:bookmarkStart w:id="31"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1"/>
    </w:p>
    <w:p>
      <w:pPr>
        <w:pStyle w:val="ListParagraph"/>
        <w:numPr>
          <w:ilvl w:val="1"/>
          <w:numId w:val="3"/>
        </w:numPr>
        <w:shd w:val="clear" w:color="auto" w:fill="FFFFFF"/>
        <w:tabs>
          <w:tab w:val="clear" w:pos="709"/>
          <w:tab w:val="left" w:pos="1134" w:leader="none"/>
        </w:tabs>
        <w:ind w:left="0" w:firstLine="709"/>
        <w:jc w:val="both"/>
        <w:rPr>
          <w:bCs/>
        </w:rPr>
      </w:pPr>
      <w:bookmarkStart w:id="32" w:name="_Ref361337948"/>
      <w:r>
        <w:rPr>
          <w:bCs/>
        </w:rPr>
        <w:t>В случае нарушения Подрядчиком обязательств, установленных пунктами 15.1,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pPr>
        <w:pStyle w:val="ListParagraph"/>
        <w:numPr>
          <w:ilvl w:val="1"/>
          <w:numId w:val="3"/>
        </w:numPr>
        <w:shd w:val="clear" w:color="auto" w:fill="FFFFFF"/>
        <w:tabs>
          <w:tab w:val="clear" w:pos="709"/>
          <w:tab w:val="left" w:pos="1134" w:leader="none"/>
        </w:tabs>
        <w:ind w:left="0" w:firstLine="709"/>
        <w:jc w:val="both"/>
        <w:rPr>
          <w:bCs/>
        </w:rPr>
      </w:pPr>
      <w:bookmarkStart w:id="3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33"/>
    </w:p>
    <w:p>
      <w:pPr>
        <w:pStyle w:val="ListParagraph"/>
        <w:numPr>
          <w:ilvl w:val="1"/>
          <w:numId w:val="3"/>
        </w:numPr>
        <w:shd w:val="clear" w:color="auto" w:fill="FFFFFF"/>
        <w:tabs>
          <w:tab w:val="clear" w:pos="709"/>
          <w:tab w:val="left" w:pos="1134" w:leader="none"/>
        </w:tabs>
        <w:ind w:left="0" w:firstLine="709"/>
        <w:jc w:val="both"/>
        <w:rPr>
          <w:bCs/>
        </w:rPr>
      </w:pPr>
      <w:bookmarkStart w:id="34" w:name="_Ref373243071"/>
      <w:r>
        <w:rPr>
          <w:bCs/>
        </w:rPr>
        <w:t>Штраф, предусмотренный пунктом 15.4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15.3 Договора.</w:t>
      </w:r>
      <w:bookmarkEnd w:id="34"/>
    </w:p>
    <w:p>
      <w:pPr>
        <w:pStyle w:val="ListParagraph"/>
        <w:numPr>
          <w:ilvl w:val="1"/>
          <w:numId w:val="3"/>
        </w:numPr>
        <w:shd w:val="clear" w:color="auto" w:fill="FFFFFF"/>
        <w:tabs>
          <w:tab w:val="clear" w:pos="709"/>
          <w:tab w:val="left" w:pos="1134" w:leader="none"/>
        </w:tabs>
        <w:ind w:left="0" w:firstLine="709"/>
        <w:jc w:val="both"/>
        <w:rPr>
          <w:bCs/>
        </w:rPr>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15.4. Договора. При этом Заказчик не будет считаться просрочившим и / или нарушившим свои обязательства по Договору.</w:t>
      </w:r>
      <w:bookmarkEnd w:id="35"/>
    </w:p>
    <w:p>
      <w:pPr>
        <w:pStyle w:val="ListParagraph"/>
        <w:numPr>
          <w:ilvl w:val="1"/>
          <w:numId w:val="3"/>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567" w:leader="none"/>
        </w:tabs>
        <w:ind w:left="0" w:hanging="0"/>
        <w:jc w:val="both"/>
        <w:rPr>
          <w:bCs/>
        </w:rPr>
      </w:pPr>
      <w:r>
        <w:rPr>
          <w:bCs/>
        </w:rPr>
      </w:r>
    </w:p>
    <w:p>
      <w:pPr>
        <w:pStyle w:val="ListParagraph"/>
        <w:numPr>
          <w:ilvl w:val="0"/>
          <w:numId w:val="3"/>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9"/>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1"/>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1"/>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1"/>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1"/>
        </w:numPr>
        <w:shd w:val="clear" w:color="auto" w:fill="FFFFFF"/>
        <w:tabs>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архитектурно-строительного проектирования или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0"/>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4.1 Договора.</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b/>
        </w:rPr>
      </w:pPr>
      <w:r>
        <w:rPr>
          <w:b/>
        </w:rPr>
      </w:r>
    </w:p>
    <w:p>
      <w:pPr>
        <w:pStyle w:val="ListParagraph"/>
        <w:numPr>
          <w:ilvl w:val="0"/>
          <w:numId w:val="3"/>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3"/>
        </w:numPr>
        <w:shd w:val="clear" w:color="auto" w:fill="FFFFFF"/>
        <w:tabs>
          <w:tab w:val="clear" w:pos="709"/>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9"/>
          <w:tab w:val="left" w:pos="1134" w:leader="none"/>
        </w:tabs>
        <w:ind w:left="0" w:firstLine="709"/>
        <w:jc w:val="both"/>
        <w:rPr/>
      </w:pPr>
      <w:r>
        <w:rPr/>
        <w:t xml:space="preserve">Заказчик вправе в любое время до сдачи ему Результата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9"/>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8"/>
        </w:numPr>
        <w:tabs>
          <w:tab w:val="clear" w:pos="709"/>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pPr>
        <w:pStyle w:val="ListParagraph"/>
        <w:numPr>
          <w:ilvl w:val="0"/>
          <w:numId w:val="8"/>
        </w:numPr>
        <w:tabs>
          <w:tab w:val="clear" w:pos="709"/>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8"/>
        </w:numPr>
        <w:tabs>
          <w:tab w:val="clear" w:pos="709"/>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8"/>
        </w:numPr>
        <w:tabs>
          <w:tab w:val="clear" w:pos="709"/>
          <w:tab w:val="left" w:pos="1134" w:leader="none"/>
        </w:tabs>
        <w:ind w:left="0" w:right="23" w:firstLine="709"/>
        <w:jc w:val="both"/>
        <w:rPr>
          <w:highlight w:val="none"/>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8"/>
        </w:numPr>
        <w:tabs>
          <w:tab w:val="clear" w:pos="709"/>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8"/>
        </w:numPr>
        <w:tabs>
          <w:tab w:val="clear" w:pos="709"/>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3.4.2 Договора;</w:t>
      </w:r>
    </w:p>
    <w:p>
      <w:pPr>
        <w:pStyle w:val="ListParagraph"/>
        <w:numPr>
          <w:ilvl w:val="0"/>
          <w:numId w:val="8"/>
        </w:numPr>
        <w:tabs>
          <w:tab w:val="clear" w:pos="709"/>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16 Договора, и имеющих существенное значение для его заключения и исполнения.</w:t>
      </w:r>
    </w:p>
    <w:p>
      <w:pPr>
        <w:pStyle w:val="ListParagraph"/>
        <w:numPr>
          <w:ilvl w:val="1"/>
          <w:numId w:val="3"/>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9"/>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8"/>
        </w:numPr>
        <w:shd w:val="clear" w:color="auto" w:fill="FFFFFF"/>
        <w:tabs>
          <w:tab w:val="clear" w:pos="709"/>
          <w:tab w:val="left" w:pos="1418" w:leader="none"/>
        </w:tabs>
        <w:ind w:left="0" w:firstLine="709"/>
        <w:jc w:val="both"/>
        <w:rPr>
          <w:highlight w:val="none"/>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p>
    <w:p>
      <w:pPr>
        <w:pStyle w:val="ListParagraph"/>
        <w:numPr>
          <w:ilvl w:val="0"/>
          <w:numId w:val="18"/>
        </w:numPr>
        <w:shd w:val="clear" w:color="auto" w:fill="FFFFFF"/>
        <w:tabs>
          <w:tab w:val="clear" w:pos="709"/>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8"/>
        </w:numPr>
        <w:shd w:val="clear" w:color="auto" w:fill="FFFFFF"/>
        <w:tabs>
          <w:tab w:val="clear" w:pos="709"/>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3"/>
        </w:numPr>
        <w:shd w:val="clear" w:color="auto" w:fill="FFFFFF"/>
        <w:tabs>
          <w:tab w:val="clear" w:pos="709"/>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4.5.6 Договора.</w:t>
      </w:r>
    </w:p>
    <w:p>
      <w:pPr>
        <w:pStyle w:val="ListParagraph"/>
        <w:numPr>
          <w:ilvl w:val="1"/>
          <w:numId w:val="3"/>
        </w:numPr>
        <w:shd w:val="clear" w:color="auto" w:fill="FFFFFF"/>
        <w:tabs>
          <w:tab w:val="clear" w:pos="709"/>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Normal"/>
        <w:shd w:val="clear" w:color="auto" w:fill="FFFFFF"/>
        <w:tabs>
          <w:tab w:val="clear" w:pos="709"/>
          <w:tab w:val="left" w:pos="1134" w:leader="none"/>
        </w:tabs>
        <w:spacing w:lineRule="auto" w:line="240"/>
        <w:ind w:hanging="0"/>
        <w:rPr/>
      </w:pPr>
      <w:r>
        <w:rPr/>
      </w:r>
    </w:p>
    <w:p>
      <w:pPr>
        <w:pStyle w:val="ListParagraph"/>
        <w:numPr>
          <w:ilvl w:val="0"/>
          <w:numId w:val="3"/>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numPr>
          <w:ilvl w:val="1"/>
          <w:numId w:val="3"/>
        </w:numPr>
        <w:shd w:val="clear" w:color="auto" w:fill="FFFFFF"/>
        <w:tabs>
          <w:tab w:val="clear" w:pos="709"/>
          <w:tab w:val="left" w:pos="1134" w:leader="none"/>
        </w:tabs>
        <w:ind w:left="0" w:firstLine="709"/>
        <w:jc w:val="both"/>
        <w:rPr/>
      </w:pPr>
      <w:r>
        <w:rPr/>
        <w:t xml:space="preserve">Договор вступает в силу с даты его подписания Сторонами и действует до ________, а в части неисполненных обязательств – до полного исполнения.  </w:t>
      </w:r>
    </w:p>
    <w:p>
      <w:pPr>
        <w:pStyle w:val="ListParagraph"/>
        <w:numPr>
          <w:ilvl w:val="1"/>
          <w:numId w:val="3"/>
        </w:numPr>
        <w:shd w:val="clear" w:color="auto" w:fill="FFFFFF"/>
        <w:tabs>
          <w:tab w:val="clear" w:pos="709"/>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18.7 Договора. </w:t>
      </w:r>
    </w:p>
    <w:p>
      <w:pPr>
        <w:pStyle w:val="ListParagraph"/>
        <w:numPr>
          <w:ilvl w:val="1"/>
          <w:numId w:val="3"/>
        </w:numPr>
        <w:shd w:val="clear" w:color="auto" w:fill="FFFFFF"/>
        <w:tabs>
          <w:tab w:val="clear" w:pos="709"/>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9"/>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9"/>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18.8 Договора.</w:t>
      </w:r>
    </w:p>
    <w:p>
      <w:pPr>
        <w:pStyle w:val="ListParagraph"/>
        <w:numPr>
          <w:ilvl w:val="1"/>
          <w:numId w:val="3"/>
        </w:numPr>
        <w:shd w:val="clear" w:color="auto" w:fill="FFFFFF"/>
        <w:tabs>
          <w:tab w:val="clear" w:pos="709"/>
          <w:tab w:val="left" w:pos="0" w:leader="none"/>
          <w:tab w:val="left" w:pos="1134" w:leader="none"/>
          <w:tab w:val="left" w:pos="1418" w:leader="none"/>
        </w:tabs>
        <w:ind w:left="0" w:firstLine="709"/>
        <w:jc w:val="both"/>
        <w:rPr>
          <w:bCs/>
        </w:rPr>
      </w:pPr>
      <w:bookmarkStart w:id="36" w:name="_Ref361338004"/>
      <w:r>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Договора.</w:t>
      </w:r>
      <w:bookmarkEnd w:id="36"/>
      <w:r>
        <w:rPr/>
        <w:t xml:space="preserve"> </w:t>
      </w:r>
    </w:p>
    <w:p>
      <w:pPr>
        <w:pStyle w:val="ListParagraph"/>
        <w:numPr>
          <w:ilvl w:val="1"/>
          <w:numId w:val="3"/>
        </w:numPr>
        <w:shd w:val="clear" w:color="auto" w:fill="FFFFFF"/>
        <w:tabs>
          <w:tab w:val="clear" w:pos="709"/>
          <w:tab w:val="left" w:pos="0" w:leader="none"/>
          <w:tab w:val="left" w:pos="1134" w:leader="none"/>
          <w:tab w:val="left" w:pos="1418" w:leader="none"/>
        </w:tabs>
        <w:ind w:left="0" w:firstLine="709"/>
        <w:jc w:val="both"/>
        <w:rPr>
          <w:bCs/>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3"/>
        </w:numPr>
        <w:ind w:left="0" w:firstLine="709"/>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3"/>
        </w:numPr>
        <w:ind w:left="0" w:firstLine="709"/>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3"/>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18.8.1 –18.8.2 Договора. </w:t>
      </w:r>
    </w:p>
    <w:p>
      <w:pPr>
        <w:pStyle w:val="Normal"/>
        <w:numPr>
          <w:ilvl w:val="1"/>
          <w:numId w:val="3"/>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shd w:val="clear" w:color="auto" w:fill="FFFFFF"/>
        <w:tabs>
          <w:tab w:val="clear" w:pos="709"/>
          <w:tab w:val="left" w:pos="568" w:leader="none"/>
        </w:tabs>
        <w:ind w:left="0" w:firstLine="709"/>
        <w:jc w:val="both"/>
        <w:rPr/>
      </w:pPr>
      <w:r>
        <w:rPr>
          <w:sz w:val="24"/>
          <w:szCs w:val="24"/>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t xml:space="preserve">. </w:t>
      </w:r>
    </w:p>
    <w:p>
      <w:pPr>
        <w:pStyle w:val="ListParagraph"/>
        <w:numPr>
          <w:ilvl w:val="1"/>
          <w:numId w:val="3"/>
        </w:numPr>
        <w:shd w:val="clear" w:color="auto" w:fill="FFFFFF"/>
        <w:tabs>
          <w:tab w:val="clear" w:pos="709"/>
          <w:tab w:val="left" w:pos="568" w:leader="none"/>
        </w:tabs>
        <w:ind w:left="0" w:firstLine="709"/>
        <w:jc w:val="both"/>
        <w:rPr/>
      </w:pPr>
      <w:r>
        <w:rPr>
          <w:sz w:val="24"/>
          <w:szCs w:val="24"/>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ListParagraph"/>
        <w:numPr>
          <w:ilvl w:val="1"/>
          <w:numId w:val="3"/>
        </w:numPr>
        <w:shd w:val="clear" w:color="auto" w:fill="FFFFFF"/>
        <w:tabs>
          <w:tab w:val="clear" w:pos="709"/>
          <w:tab w:val="left" w:pos="1134" w:leader="none"/>
          <w:tab w:val="left" w:pos="141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3"/>
        </w:numPr>
        <w:shd w:val="clear" w:color="auto" w:fill="FFFFFF"/>
        <w:tabs>
          <w:tab w:val="clear" w:pos="709"/>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shd w:val="clear" w:color="auto" w:fill="FFFFFF"/>
        <w:ind w:left="0" w:firstLine="567"/>
        <w:rPr>
          <w:bCs/>
        </w:rPr>
      </w:pPr>
      <w:r>
        <w:rPr>
          <w:bCs/>
        </w:rPr>
      </w:r>
    </w:p>
    <w:p>
      <w:pPr>
        <w:pStyle w:val="ListParagraph"/>
        <w:numPr>
          <w:ilvl w:val="0"/>
          <w:numId w:val="3"/>
        </w:numPr>
        <w:shd w:val="clear" w:color="auto" w:fill="FFFFFF"/>
        <w:tabs>
          <w:tab w:val="clear" w:pos="709"/>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Перечень объектов учета капитальных вложений;</w:t>
      </w:r>
    </w:p>
    <w:p>
      <w:pPr>
        <w:pStyle w:val="ListParagraph"/>
        <w:shd w:val="clear" w:color="auto" w:fill="FFFFFF"/>
        <w:ind w:left="0" w:hanging="0"/>
        <w:jc w:val="both"/>
        <w:rPr>
          <w:bCs/>
        </w:rPr>
      </w:pPr>
      <w:r>
        <w:rPr>
          <w:bCs/>
        </w:rPr>
        <w:t>Приложение № 3 – Календарный график выполнения Работ;</w:t>
      </w:r>
    </w:p>
    <w:p>
      <w:pPr>
        <w:pStyle w:val="ListParagraph"/>
        <w:shd w:val="clear" w:color="auto" w:fill="FFFFFF"/>
        <w:ind w:left="0" w:hanging="0"/>
        <w:jc w:val="both"/>
        <w:rPr>
          <w:bCs/>
        </w:rPr>
      </w:pPr>
      <w:r>
        <w:rPr>
          <w:bCs/>
        </w:rPr>
        <w:t>Приложение № 4 – Сводный сметный расчет с приложениями;</w:t>
      </w:r>
    </w:p>
    <w:p>
      <w:pPr>
        <w:pStyle w:val="ListParagraph"/>
        <w:shd w:val="clear" w:color="auto" w:fill="FFFFFF"/>
        <w:ind w:left="0" w:hanging="0"/>
        <w:jc w:val="both"/>
        <w:rPr>
          <w:bCs/>
          <w:highlight w:val="none"/>
        </w:rPr>
      </w:pPr>
      <w:r>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pPr>
        <w:pStyle w:val="ListParagraph"/>
        <w:shd w:val="clear" w:color="auto" w:fill="FFFFFF"/>
        <w:ind w:left="0" w:hanging="0"/>
        <w:jc w:val="both"/>
        <w:rPr>
          <w:bCs/>
        </w:rPr>
      </w:pPr>
      <w:r>
        <w:rPr>
          <w:bCs/>
        </w:rPr>
        <w:t>Приложение № 5.2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hanging="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highlight w:val="none"/>
        </w:rPr>
      </w:pPr>
      <w:r>
        <w:rPr>
          <w:bCs/>
        </w:rPr>
        <w:t>Приложение № 8 – Форма Акта сдачи-приемки Проектных работ;</w:t>
      </w:r>
    </w:p>
    <w:p>
      <w:pPr>
        <w:pStyle w:val="ListParagraph"/>
        <w:shd w:val="clear" w:color="auto" w:fill="FFFFFF"/>
        <w:ind w:left="0" w:hanging="0"/>
        <w:jc w:val="both"/>
        <w:rPr>
          <w:bCs/>
          <w:highlight w:val="none"/>
        </w:rPr>
      </w:pPr>
      <w:r>
        <w:rPr>
          <w:bCs/>
        </w:rPr>
        <w:t>Приложение №9 -  Критерии отбора Банков-Гарантов.</w:t>
      </w:r>
    </w:p>
    <w:p>
      <w:pPr>
        <w:pStyle w:val="ListParagraph"/>
        <w:shd w:val="clear" w:color="auto" w:fill="FFFFFF"/>
        <w:ind w:left="0" w:hanging="0"/>
        <w:jc w:val="both"/>
        <w:rPr/>
      </w:pPr>
      <w:r>
        <w:rPr/>
      </w:r>
    </w:p>
    <w:p>
      <w:pPr>
        <w:pStyle w:val="ListParagraph"/>
        <w:numPr>
          <w:ilvl w:val="0"/>
          <w:numId w:val="3"/>
        </w:numPr>
        <w:shd w:val="clear" w:color="auto" w:fill="FFFFFF"/>
        <w:tabs>
          <w:tab w:val="clear" w:pos="709"/>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9"/>
          <w:tab w:val="left" w:pos="426" w:leader="none"/>
        </w:tabs>
        <w:ind w:left="0" w:hanging="0"/>
        <w:rPr>
          <w:b/>
          <w:bCs/>
        </w:rPr>
      </w:pPr>
      <w:r>
        <w:rPr>
          <w:b/>
          <w:bCs/>
        </w:rPr>
      </w:r>
    </w:p>
    <w:tbl>
      <w:tblPr>
        <w:tblW w:w="989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951"/>
        <w:gridCol w:w="4611"/>
        <w:gridCol w:w="328"/>
      </w:tblGrid>
      <w:tr>
        <w:trPr/>
        <w:tc>
          <w:tcPr>
            <w:tcW w:w="4951" w:type="dxa"/>
            <w:tcBorders/>
          </w:tcPr>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ЗАКАЗЧИК:</w:t>
            </w:r>
          </w:p>
        </w:tc>
        <w:tc>
          <w:tcPr>
            <w:tcW w:w="4939" w:type="dxa"/>
            <w:gridSpan w:val="2"/>
            <w:tcBorders/>
          </w:tcPr>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ПОДРЯДЧИК:</w:t>
            </w:r>
          </w:p>
        </w:tc>
      </w:tr>
      <w:tr>
        <w:trPr/>
        <w:tc>
          <w:tcPr>
            <w:tcW w:w="4951" w:type="dxa"/>
            <w:tcBorders/>
          </w:tcPr>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b/>
                <w:sz w:val="24"/>
                <w:szCs w:val="24"/>
              </w:rPr>
              <w:t>АО «ДГК»</w:t>
            </w:r>
          </w:p>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sz w:val="24"/>
                <w:szCs w:val="24"/>
              </w:rPr>
              <w:t xml:space="preserve">Адрес: 680000, Хабаровский край, </w:t>
            </w:r>
          </w:p>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sz w:val="24"/>
                <w:szCs w:val="24"/>
              </w:rPr>
              <w:t>г. Хабаровск, улица Фрунзе, 49</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 xml:space="preserve">ОГРН 1051401746769, </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ИНН 1434031363 / КПП 997650001</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р/сч 407 028 102 700 000 088 18</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в Дальневосточном банке ПАО</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«Сбербанк России»</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к/сч 301 018 106 000 000 006 08</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БИК 040813608</w:t>
            </w:r>
          </w:p>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sz w:val="24"/>
                <w:szCs w:val="24"/>
              </w:rPr>
              <w:t>ОКПО 76727851</w:t>
            </w:r>
          </w:p>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sz w:val="24"/>
                <w:szCs w:val="24"/>
              </w:rPr>
              <w:t>Тел.: (4212) 26-58-10</w:t>
            </w:r>
          </w:p>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sz w:val="24"/>
                <w:szCs w:val="24"/>
              </w:rPr>
              <w:t>Факс: (4212) 26-58-09</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 xml:space="preserve">Адрес для корреспонденции: </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682817, Хабаровский край, г. Советская</w:t>
            </w:r>
          </w:p>
          <w:p>
            <w:pPr>
              <w:pStyle w:val="Normal"/>
              <w:widowControl w:val="false"/>
              <w:shd w:val="clear" w:color="FFFFFF" w:themeColor="background1" w:fill="FFFFFF" w:themeFill="background1"/>
              <w:spacing w:lineRule="auto" w:line="240" w:before="0" w:after="0"/>
              <w:ind w:hanging="0"/>
              <w:jc w:val="left"/>
              <w:rPr>
                <w:highlight w:val="none"/>
              </w:rPr>
            </w:pPr>
            <w:r>
              <w:rPr>
                <w:sz w:val="24"/>
                <w:szCs w:val="24"/>
              </w:rPr>
              <w:t>Гавань, ул. Кишиневская, стр. 2</w:t>
            </w:r>
          </w:p>
          <w:p>
            <w:pPr>
              <w:pStyle w:val="Normal"/>
              <w:widowControl w:val="false"/>
              <w:shd w:val="clear" w:color="FFFFFF" w:themeColor="background1" w:fill="FFFFFF" w:themeFill="background1"/>
              <w:spacing w:lineRule="auto" w:line="240" w:before="0" w:after="0"/>
              <w:ind w:hanging="0"/>
              <w:jc w:val="left"/>
              <w:rPr>
                <w:sz w:val="24"/>
                <w:szCs w:val="24"/>
                <w:highlight w:val="none"/>
              </w:rPr>
            </w:pPr>
            <w:r>
              <w:rPr>
                <w:sz w:val="24"/>
                <w:szCs w:val="24"/>
              </w:rPr>
              <w:t>СП «ТЭЦ в г. Советская Гавань»</w:t>
            </w:r>
          </w:p>
        </w:tc>
        <w:tc>
          <w:tcPr>
            <w:tcW w:w="4939" w:type="dxa"/>
            <w:gridSpan w:val="2"/>
            <w:tcBorders/>
          </w:tcPr>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(сокращенное наименование юр/лица)</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Место нахождения:</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Адрес:</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ОГРН 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ИНН ____________ / КПП___________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(номер расчетного счета)</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(наименование банка, в котором</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открыт расчетный счет)</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(номер корреспондентского счета банка)</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(БИК банка)</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(номер телефона)</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_________________________________</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t>(номер эл/почты)</w:t>
            </w:r>
          </w:p>
          <w:p>
            <w:pPr>
              <w:pStyle w:val="Normal"/>
              <w:widowControl w:val="false"/>
              <w:shd w:val="clear" w:color="FFFFFF" w:themeColor="background1" w:fill="FFFFFF" w:themeFill="background1"/>
              <w:spacing w:lineRule="auto" w:line="240"/>
              <w:ind w:hanging="0"/>
              <w:rPr>
                <w:sz w:val="24"/>
                <w:szCs w:val="24"/>
                <w:highlight w:val="none"/>
              </w:rPr>
            </w:pPr>
            <w:r>
              <w:rPr>
                <w:sz w:val="24"/>
                <w:szCs w:val="24"/>
              </w:rPr>
            </w:r>
          </w:p>
        </w:tc>
      </w:tr>
      <w:tr>
        <w:trPr/>
        <w:tc>
          <w:tcPr>
            <w:tcW w:w="4951" w:type="dxa"/>
            <w:tcBorders/>
          </w:tcPr>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p>
            <w:pPr>
              <w:pStyle w:val="Normal"/>
              <w:widowControl w:val="false"/>
              <w:shd w:val="clear" w:color="FFFFFF" w:themeColor="background1" w:fill="FFFFFF" w:themeFill="background1"/>
              <w:spacing w:lineRule="auto" w:line="240"/>
              <w:ind w:hanging="0"/>
              <w:jc w:val="left"/>
              <w:rPr>
                <w:sz w:val="24"/>
                <w:szCs w:val="24"/>
                <w:highlight w:val="none"/>
              </w:rPr>
            </w:pPr>
            <w:r>
              <w:rPr>
                <w:sz w:val="24"/>
                <w:szCs w:val="24"/>
              </w:rPr>
            </w:r>
          </w:p>
        </w:tc>
        <w:tc>
          <w:tcPr>
            <w:tcW w:w="4611" w:type="dxa"/>
            <w:tcBorders/>
          </w:tcPr>
          <w:p>
            <w:pPr>
              <w:pStyle w:val="Normal"/>
              <w:widowControl w:val="false"/>
              <w:shd w:val="clear" w:color="FFFFFF" w:themeColor="background1" w:fill="FFFFFF" w:themeFill="background1"/>
              <w:spacing w:lineRule="auto" w:line="240"/>
              <w:ind w:hanging="0"/>
              <w:jc w:val="left"/>
              <w:rPr>
                <w:sz w:val="24"/>
                <w:szCs w:val="24"/>
                <w:highlight w:val="none"/>
              </w:rPr>
            </w:pPr>
            <w:r>
              <w:rPr>
                <w:sz w:val="24"/>
                <w:szCs w:val="24"/>
              </w:rPr>
            </w:r>
          </w:p>
          <w:p>
            <w:pPr>
              <w:pStyle w:val="Normal"/>
              <w:widowControl w:val="false"/>
              <w:shd w:val="clear" w:color="FFFFFF" w:themeColor="background1" w:fill="FFFFFF" w:themeFill="background1"/>
              <w:spacing w:lineRule="auto" w:line="240"/>
              <w:ind w:hanging="0"/>
              <w:jc w:val="left"/>
              <w:rPr>
                <w:sz w:val="24"/>
                <w:szCs w:val="24"/>
                <w:highlight w:val="none"/>
              </w:rPr>
            </w:pPr>
            <w:r>
              <w:rPr>
                <w:sz w:val="24"/>
                <w:szCs w:val="24"/>
              </w:rPr>
              <w:t xml:space="preserve">_______________ / _______________ </w:t>
            </w:r>
          </w:p>
          <w:p>
            <w:pPr>
              <w:pStyle w:val="Normal"/>
              <w:widowControl w:val="false"/>
              <w:shd w:val="clear" w:color="FFFFFF" w:themeColor="background1" w:fill="FFFFFF" w:themeFill="background1"/>
              <w:spacing w:lineRule="auto" w:line="240"/>
              <w:ind w:hanging="0"/>
              <w:jc w:val="left"/>
              <w:rPr>
                <w:sz w:val="24"/>
                <w:szCs w:val="24"/>
                <w:highlight w:val="none"/>
              </w:rPr>
            </w:pPr>
            <w:r>
              <w:rPr>
                <w:sz w:val="24"/>
                <w:szCs w:val="24"/>
              </w:rPr>
            </w:r>
          </w:p>
        </w:tc>
        <w:tc>
          <w:tcPr>
            <w:tcW w:w="328" w:type="dxa"/>
            <w:tcBorders/>
          </w:tcPr>
          <w:p>
            <w:pPr>
              <w:pStyle w:val="Normal"/>
              <w:widowControl w:val="false"/>
              <w:rPr/>
            </w:pPr>
            <w:r>
              <w:rPr/>
            </w:r>
          </w:p>
        </w:tc>
      </w:tr>
    </w:tbl>
    <w:p>
      <w:pPr>
        <w:sectPr>
          <w:headerReference w:type="default" r:id="rId6"/>
          <w:headerReference w:type="first" r:id="rId7"/>
          <w:footerReference w:type="default" r:id="rId8"/>
          <w:footnotePr>
            <w:numFmt w:val="decimal"/>
          </w:footnotePr>
          <w:type w:val="nextPage"/>
          <w:pgSz w:w="11906" w:h="16838"/>
          <w:pgMar w:left="1418" w:right="851" w:gutter="0" w:header="709" w:top="1134" w:footer="709" w:bottom="1134"/>
          <w:pgNumType w:fmt="decimal"/>
          <w:formProt w:val="false"/>
          <w:titlePg/>
          <w:textDirection w:val="lrTb"/>
          <w:docGrid w:type="default" w:linePitch="360"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ind w:hanging="0"/>
        <w:jc w:val="right"/>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 xml:space="preserve">Перечень объектов учета капитальных вложений </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pPr w:bottomFromText="0" w:horzAnchor="margin" w:leftFromText="180" w:rightFromText="180" w:tblpX="108" w:tblpY="170" w:topFromText="0" w:vertAnchor="text"/>
        <w:tblW w:w="5000" w:type="pct"/>
        <w:jc w:val="left"/>
        <w:tblInd w:w="-5" w:type="dxa"/>
        <w:tblLayout w:type="fixed"/>
        <w:tblCellMar>
          <w:top w:w="0" w:type="dxa"/>
          <w:left w:w="108" w:type="dxa"/>
          <w:bottom w:w="0" w:type="dxa"/>
          <w:right w:w="108" w:type="dxa"/>
        </w:tblCellMar>
        <w:tblLook w:val="04a0" w:noHBand="0" w:noVBand="1" w:firstColumn="1" w:lastRow="0" w:lastColumn="0" w:firstRow="1"/>
      </w:tblPr>
      <w:tblGrid>
        <w:gridCol w:w="466"/>
        <w:gridCol w:w="3019"/>
        <w:gridCol w:w="3076"/>
        <w:gridCol w:w="3075"/>
      </w:tblGrid>
      <w:tr>
        <w:trPr/>
        <w:tc>
          <w:tcPr>
            <w:tcW w:w="4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 </w:t>
            </w:r>
            <w:r>
              <w:rPr>
                <w:sz w:val="24"/>
                <w:szCs w:val="24"/>
              </w:rPr>
              <w:t>п/п</w:t>
            </w:r>
          </w:p>
        </w:tc>
        <w:tc>
          <w:tcPr>
            <w:tcW w:w="30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Наименование Объекта</w:t>
            </w:r>
          </w:p>
        </w:tc>
        <w:tc>
          <w:tcPr>
            <w:tcW w:w="3076" w:type="dxa"/>
            <w:tcBorders>
              <w:top w:val="single" w:sz="4" w:space="0" w:color="000000"/>
              <w:left w:val="single" w:sz="4" w:space="0" w:color="000000"/>
              <w:bottom w:val="single" w:sz="4" w:space="0" w:color="000000"/>
            </w:tcBorders>
          </w:tcPr>
          <w:p>
            <w:pPr>
              <w:pStyle w:val="Normal"/>
              <w:widowControl w:val="false"/>
              <w:spacing w:lineRule="auto" w:line="240"/>
              <w:ind w:hanging="0"/>
              <w:jc w:val="center"/>
              <w:rPr>
                <w:sz w:val="24"/>
                <w:szCs w:val="24"/>
              </w:rPr>
            </w:pPr>
            <w:r>
              <w:rPr>
                <w:sz w:val="24"/>
                <w:szCs w:val="24"/>
              </w:rPr>
              <w:t xml:space="preserve">Имущество Заказчика </w:t>
            </w:r>
          </w:p>
          <w:p>
            <w:pPr>
              <w:pStyle w:val="Normal"/>
              <w:widowControl w:val="false"/>
              <w:spacing w:lineRule="auto" w:line="240"/>
              <w:ind w:hanging="0"/>
              <w:jc w:val="center"/>
              <w:rPr>
                <w:sz w:val="24"/>
                <w:szCs w:val="24"/>
              </w:rPr>
            </w:pPr>
            <w:r>
              <w:rPr>
                <w:sz w:val="24"/>
                <w:szCs w:val="24"/>
              </w:rPr>
              <w:t>(основные средства) в составе Объекта</w:t>
            </w:r>
          </w:p>
        </w:tc>
        <w:tc>
          <w:tcPr>
            <w:tcW w:w="30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Инвентарный номер</w:t>
            </w:r>
          </w:p>
        </w:tc>
      </w:tr>
      <w:tr>
        <w:trPr/>
        <w:tc>
          <w:tcPr>
            <w:tcW w:w="4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1</w:t>
            </w:r>
          </w:p>
        </w:tc>
        <w:tc>
          <w:tcPr>
            <w:tcW w:w="30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3076" w:type="dxa"/>
            <w:tcBorders>
              <w:top w:val="single" w:sz="4" w:space="0" w:color="000000"/>
              <w:left w:val="single" w:sz="4" w:space="0" w:color="000000"/>
              <w:bottom w:val="single" w:sz="4" w:space="0" w:color="000000"/>
            </w:tcBorders>
          </w:tcPr>
          <w:p>
            <w:pPr>
              <w:pStyle w:val="Normal"/>
              <w:widowControl w:val="false"/>
              <w:spacing w:lineRule="auto" w:line="240"/>
              <w:ind w:hanging="0"/>
              <w:jc w:val="center"/>
              <w:rPr>
                <w:sz w:val="24"/>
                <w:szCs w:val="24"/>
              </w:rPr>
            </w:pPr>
            <w:r>
              <w:rPr>
                <w:sz w:val="24"/>
                <w:szCs w:val="24"/>
              </w:rPr>
            </w:r>
          </w:p>
        </w:tc>
        <w:tc>
          <w:tcPr>
            <w:tcW w:w="30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4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2</w:t>
            </w:r>
          </w:p>
        </w:tc>
        <w:tc>
          <w:tcPr>
            <w:tcW w:w="30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3076" w:type="dxa"/>
            <w:tcBorders>
              <w:top w:val="single" w:sz="4" w:space="0" w:color="000000"/>
              <w:left w:val="single" w:sz="4" w:space="0" w:color="000000"/>
              <w:bottom w:val="single" w:sz="4" w:space="0" w:color="000000"/>
            </w:tcBorders>
          </w:tcPr>
          <w:p>
            <w:pPr>
              <w:pStyle w:val="Normal"/>
              <w:widowControl w:val="false"/>
              <w:spacing w:lineRule="auto" w:line="240"/>
              <w:ind w:hanging="0"/>
              <w:jc w:val="center"/>
              <w:rPr>
                <w:sz w:val="24"/>
                <w:szCs w:val="24"/>
              </w:rPr>
            </w:pPr>
            <w:r>
              <w:rPr>
                <w:sz w:val="24"/>
                <w:szCs w:val="24"/>
              </w:rPr>
            </w:r>
          </w:p>
        </w:tc>
        <w:tc>
          <w:tcPr>
            <w:tcW w:w="30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4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3</w:t>
            </w:r>
          </w:p>
        </w:tc>
        <w:tc>
          <w:tcPr>
            <w:tcW w:w="30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3076" w:type="dxa"/>
            <w:tcBorders>
              <w:top w:val="single" w:sz="4" w:space="0" w:color="000000"/>
              <w:left w:val="single" w:sz="4" w:space="0" w:color="000000"/>
              <w:bottom w:val="single" w:sz="4" w:space="0" w:color="000000"/>
            </w:tcBorders>
          </w:tcPr>
          <w:p>
            <w:pPr>
              <w:pStyle w:val="Normal"/>
              <w:widowControl w:val="false"/>
              <w:spacing w:lineRule="auto" w:line="240"/>
              <w:ind w:hanging="0"/>
              <w:jc w:val="center"/>
              <w:rPr>
                <w:sz w:val="24"/>
                <w:szCs w:val="24"/>
              </w:rPr>
            </w:pPr>
            <w:r>
              <w:rPr>
                <w:sz w:val="24"/>
                <w:szCs w:val="24"/>
              </w:rPr>
            </w:r>
          </w:p>
        </w:tc>
        <w:tc>
          <w:tcPr>
            <w:tcW w:w="30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r>
        <w:br w:type="page"/>
      </w: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697"/>
        <w:gridCol w:w="1618"/>
        <w:gridCol w:w="2195"/>
        <w:gridCol w:w="1616"/>
        <w:gridCol w:w="1181"/>
        <w:gridCol w:w="774"/>
        <w:gridCol w:w="850"/>
        <w:gridCol w:w="978"/>
      </w:tblGrid>
      <w:tr>
        <w:trPr/>
        <w:tc>
          <w:tcPr>
            <w:tcW w:w="69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1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219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27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7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69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219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7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1.</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 xml:space="preserve">Обследование, разработка и согласование с Заказчиком рабочей документации по техническому перевооружению и </w:t>
            </w:r>
            <w:r>
              <w:rPr>
                <w:sz w:val="20"/>
                <w:szCs w:val="20"/>
                <w:highlight w:val="white"/>
              </w:rPr>
              <w:t xml:space="preserve">интеграции в существующую АСУ ТП при увеличении количества сигналов </w:t>
            </w:r>
            <w:r>
              <w:rPr>
                <w:sz w:val="20"/>
                <w:szCs w:val="20"/>
              </w:rPr>
              <w:t xml:space="preserve">системы питательных насосов. </w:t>
            </w:r>
          </w:p>
        </w:tc>
        <w:tc>
          <w:tcPr>
            <w:tcW w:w="21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С даты, следующей за датой заключения договора</w:t>
            </w:r>
          </w:p>
        </w:tc>
        <w:tc>
          <w:tcPr>
            <w:tcW w:w="11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 xml:space="preserve">В течение 30 </w:t>
            </w:r>
            <w:r>
              <w:rPr>
                <w:sz w:val="20"/>
                <w:szCs w:val="20"/>
              </w:rPr>
              <w:t xml:space="preserve">календарных </w:t>
            </w:r>
            <w:r>
              <w:rPr>
                <w:sz w:val="20"/>
                <w:szCs w:val="20"/>
              </w:rPr>
              <w:t>дней</w:t>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2.</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Выполнение комплекса строительно-монтажных работ (в том числе поставка оборудования и материалов)</w:t>
            </w:r>
          </w:p>
        </w:tc>
        <w:tc>
          <w:tcPr>
            <w:tcW w:w="21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С даты, следующей за датой заключения договора</w:t>
            </w:r>
          </w:p>
        </w:tc>
        <w:tc>
          <w:tcPr>
            <w:tcW w:w="11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sz w:val="20"/>
                <w:szCs w:val="20"/>
              </w:rPr>
              <w:t xml:space="preserve">В течение 205 </w:t>
            </w:r>
            <w:r>
              <w:rPr>
                <w:sz w:val="20"/>
                <w:szCs w:val="20"/>
              </w:rPr>
              <w:t xml:space="preserve">календарных </w:t>
            </w:r>
            <w:r>
              <w:rPr>
                <w:sz w:val="20"/>
                <w:szCs w:val="20"/>
              </w:rPr>
              <w:t>дней</w:t>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rFonts w:ascii="Times New Roman" w:hAnsi="Times New Roman" w:eastAsia="Noto Serif CJK SC" w:cs="Arial Unicode MS"/>
                <w:color w:val="auto"/>
                <w:kern w:val="0"/>
                <w:sz w:val="20"/>
                <w:szCs w:val="20"/>
                <w:lang w:val="ru-RU" w:eastAsia="ru-RU" w:bidi="ar-SA"/>
              </w:rPr>
            </w:pPr>
            <w:r>
              <w:rPr>
                <w:rFonts w:eastAsia="Noto Serif CJK SC" w:cs="Arial Unicode MS"/>
                <w:color w:val="auto"/>
                <w:kern w:val="0"/>
                <w:sz w:val="20"/>
                <w:szCs w:val="20"/>
                <w:lang w:val="ru-RU" w:eastAsia="ru-RU" w:bidi="ar-SA"/>
              </w:rPr>
              <w:t>3.</w:t>
            </w:r>
          </w:p>
        </w:tc>
        <w:tc>
          <w:tcPr>
            <w:tcW w:w="161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2"/>
              </w:numPr>
              <w:shd w:val="clear" w:color="auto" w:fill="FFFFFF"/>
              <w:tabs>
                <w:tab w:val="clear" w:pos="709"/>
                <w:tab w:val="left" w:pos="1418" w:leader="none"/>
              </w:tabs>
              <w:ind w:left="0" w:hanging="0"/>
              <w:jc w:val="both"/>
              <w:rPr>
                <w:rFonts w:ascii="Times New Roman" w:hAnsi="Times New Roman" w:eastAsia="Noto Serif CJK SC" w:cs="Arial Unicode MS"/>
                <w:color w:val="auto"/>
                <w:kern w:val="0"/>
                <w:sz w:val="20"/>
                <w:szCs w:val="20"/>
                <w:lang w:val="ru-RU" w:eastAsia="ru-RU" w:bidi="ar-SA"/>
              </w:rPr>
            </w:pPr>
            <w:r>
              <w:rPr>
                <w:rFonts w:eastAsia="Noto Serif CJK SC" w:cs="Arial Unicode MS"/>
                <w:color w:val="auto"/>
                <w:kern w:val="0"/>
                <w:sz w:val="20"/>
                <w:szCs w:val="20"/>
                <w:lang w:val="ru-RU" w:eastAsia="ru-RU" w:bidi="ar-SA"/>
              </w:rPr>
              <w:t>Пуско-наладочные работы, шеф-наладка</w:t>
            </w:r>
          </w:p>
        </w:tc>
        <w:tc>
          <w:tcPr>
            <w:tcW w:w="21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rFonts w:ascii="Times New Roman" w:hAnsi="Times New Roman" w:eastAsia="Noto Serif CJK SC" w:cs="Arial Unicode MS"/>
                <w:color w:val="auto"/>
                <w:kern w:val="0"/>
                <w:sz w:val="20"/>
                <w:szCs w:val="20"/>
                <w:lang w:val="ru-RU" w:eastAsia="ru-RU" w:bidi="ar-SA"/>
              </w:rPr>
            </w:pPr>
            <w:r>
              <w:rPr>
                <w:rFonts w:eastAsia="Noto Serif CJK SC" w:cs="Arial Unicode MS"/>
                <w:color w:val="auto"/>
                <w:kern w:val="0"/>
                <w:sz w:val="20"/>
                <w:szCs w:val="20"/>
                <w:lang w:val="ru-RU" w:eastAsia="ru-RU" w:bidi="ar-SA"/>
              </w:rPr>
              <w:t>С даты, следующей за датой выполнения комплекса строительно-монтажных работ</w:t>
            </w:r>
          </w:p>
        </w:tc>
        <w:tc>
          <w:tcPr>
            <w:tcW w:w="11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rFonts w:ascii="Times New Roman" w:hAnsi="Times New Roman" w:eastAsia="Noto Serif CJK SC" w:cs="Arial Unicode MS"/>
                <w:color w:val="auto"/>
                <w:kern w:val="0"/>
                <w:sz w:val="20"/>
                <w:szCs w:val="20"/>
                <w:lang w:val="ru-RU" w:eastAsia="ru-RU" w:bidi="ar-SA"/>
              </w:rPr>
            </w:pPr>
            <w:r>
              <w:rPr>
                <w:rFonts w:eastAsia="Noto Serif CJK SC" w:cs="Arial Unicode MS"/>
                <w:color w:val="auto"/>
                <w:kern w:val="0"/>
                <w:sz w:val="20"/>
                <w:szCs w:val="20"/>
                <w:lang w:val="ru-RU" w:eastAsia="ru-RU" w:bidi="ar-SA"/>
              </w:rPr>
              <w:t xml:space="preserve">В течение 30 </w:t>
            </w:r>
            <w:r>
              <w:rPr>
                <w:rFonts w:eastAsia="Noto Serif CJK SC" w:cs="Arial Unicode MS"/>
                <w:color w:val="auto"/>
                <w:kern w:val="0"/>
                <w:sz w:val="20"/>
                <w:szCs w:val="20"/>
                <w:lang w:val="ru-RU" w:eastAsia="ru-RU" w:bidi="ar-SA"/>
              </w:rPr>
              <w:t xml:space="preserve">календарных </w:t>
            </w:r>
            <w:r>
              <w:rPr>
                <w:rFonts w:eastAsia="Noto Serif CJK SC" w:cs="Arial Unicode MS"/>
                <w:color w:val="auto"/>
                <w:kern w:val="0"/>
                <w:sz w:val="20"/>
                <w:szCs w:val="20"/>
                <w:lang w:val="ru-RU" w:eastAsia="ru-RU" w:bidi="ar-SA"/>
              </w:rPr>
              <w:t>дней</w:t>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931"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97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Cs/>
          <w:sz w:val="24"/>
          <w:szCs w:val="24"/>
          <w:highlight w:val="lightGray"/>
        </w:rPr>
      </w:pPr>
      <w:r>
        <w:rPr>
          <w:b/>
          <w:sz w:val="24"/>
          <w:szCs w:val="24"/>
        </w:rPr>
        <w:t>СВОДНЫЙ СМЕТНЫЙ РАСЧЕТ 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абот и</w:t>
      </w:r>
      <w:r>
        <w:rPr>
          <w:sz w:val="24"/>
        </w:rPr>
        <w:t xml:space="preserve"> места (помещения) для складирования </w:t>
      </w:r>
      <w:r>
        <w:rPr>
          <w:bCs/>
          <w:sz w:val="24"/>
          <w:lang w:val="ru-RU"/>
        </w:rPr>
        <w:t xml:space="preserve">Материально-технических </w:t>
      </w:r>
      <w:r>
        <w:rPr>
          <w:bCs/>
          <w:sz w:val="24"/>
          <w:szCs w:val="24"/>
          <w:lang w:val="ru-RU"/>
        </w:rPr>
        <w:t>ресурсов</w:t>
      </w:r>
      <w:r>
        <w:rPr>
          <w:bCs/>
          <w:sz w:val="24"/>
          <w:szCs w:val="24"/>
        </w:rPr>
        <w:t xml:space="preserve"> и оборудования</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b w:val="false"/>
                <w:i/>
                <w:i/>
                <w:iCs/>
                <w:highlight w:val="none"/>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rPr>
              <w:t>и</w:t>
            </w:r>
            <w:r>
              <w:rPr>
                <w:b w:val="false"/>
                <w:lang w:val="ru-RU"/>
              </w:rPr>
              <w:t xml:space="preserve"> </w:t>
            </w:r>
            <w:r>
              <w:rPr>
                <w:b w:val="false"/>
                <w:bCs/>
              </w:rPr>
              <w:t xml:space="preserve">места (помещения) для складирования </w:t>
            </w:r>
            <w:r>
              <w:rPr>
                <w:b w:val="false"/>
                <w:bCs/>
                <w:lang w:val="ru-RU"/>
              </w:rPr>
              <w:t>Материально-технических ресурсов и оборудования</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передано </w:t>
            </w:r>
            <w:r>
              <w:rPr>
                <w:sz w:val="22"/>
                <w:szCs w:val="22"/>
              </w:rPr>
              <w:t>Подрядчику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highlight w:val="none"/>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highlight w:val="none"/>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и оборудования: _____________________________________</w:t>
            </w:r>
          </w:p>
          <w:p>
            <w:pPr>
              <w:pStyle w:val="Normal"/>
              <w:widowControl w:val="false"/>
              <w:spacing w:lineRule="auto" w:line="240"/>
              <w:ind w:hanging="0"/>
              <w:rPr>
                <w:sz w:val="22"/>
                <w:szCs w:val="22"/>
                <w:highlight w:val="none"/>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highlight w:val="lightGray"/>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700"/>
        <w:gridCol w:w="2229"/>
        <w:gridCol w:w="1259"/>
        <w:gridCol w:w="1122"/>
        <w:gridCol w:w="966"/>
        <w:gridCol w:w="1314"/>
        <w:gridCol w:w="2330"/>
      </w:tblGrid>
      <w:tr>
        <w:trPr>
          <w:trHeight w:val="2142"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3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3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3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3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0"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7</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763"/>
        <w:gridCol w:w="5859"/>
      </w:tblGrid>
      <w:tr>
        <w:trPr/>
        <w:tc>
          <w:tcPr>
            <w:tcW w:w="3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76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763" w:type="dxa"/>
            <w:tcBorders>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3. Нарушение правил охраны труда и пожарной безопасности при выполнении работ на объектах Сп «ТЭЦ в г. Советская Гавань», приведшее/приведшие к несчастному случаю.</w:t>
            </w:r>
          </w:p>
        </w:tc>
        <w:tc>
          <w:tcPr>
            <w:tcW w:w="5859" w:type="dxa"/>
            <w:tcBorders>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1 000 000 (один миллион) рублей при получении тяжкого вреда здоровью</w:t>
            </w:r>
          </w:p>
          <w:p>
            <w:pPr>
              <w:pStyle w:val="Normal"/>
              <w:widowControl w:val="false"/>
              <w:spacing w:lineRule="auto" w:line="240"/>
              <w:ind w:hanging="0"/>
              <w:rPr>
                <w:sz w:val="24"/>
                <w:szCs w:val="24"/>
              </w:rPr>
            </w:pPr>
            <w:r>
              <w:rPr>
                <w:sz w:val="24"/>
                <w:szCs w:val="24"/>
              </w:rPr>
              <w:t>2 000 000 (два миллиона) рублей при смертельном случае.</w:t>
            </w:r>
          </w:p>
        </w:tc>
      </w:tr>
    </w:tbl>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tcPr>
          <w:p>
            <w:pPr>
              <w:pStyle w:val="Normal"/>
              <w:pageBreakBefore/>
              <w:widowControl w:val="false"/>
              <w:spacing w:lineRule="auto" w:line="240"/>
              <w:rPr>
                <w:b/>
                <w:bCs/>
                <w:szCs w:val="24"/>
              </w:rPr>
            </w:pPr>
            <w:r>
              <w:rPr>
                <w:b/>
                <w:bCs/>
                <w:szCs w:val="24"/>
              </w:rPr>
            </w:r>
          </w:p>
        </w:tc>
        <w:tc>
          <w:tcPr>
            <w:tcW w:w="4785" w:type="dxa"/>
            <w:tcBorders/>
          </w:tcPr>
          <w:p>
            <w:pPr>
              <w:pStyle w:val="Normal"/>
              <w:widowControl w:val="false"/>
              <w:shd w:val="clear" w:color="auto" w:fill="FFFFFF"/>
              <w:spacing w:lineRule="auto" w:line="240"/>
              <w:rPr>
                <w:bCs/>
                <w:sz w:val="22"/>
                <w:szCs w:val="22"/>
                <w:highlight w:val="none"/>
              </w:rPr>
            </w:pPr>
            <w:r>
              <w:rPr>
                <w:bCs/>
                <w:sz w:val="22"/>
                <w:szCs w:val="22"/>
              </w:rPr>
              <w:t>Приложение № 8</w:t>
            </w:r>
          </w:p>
          <w:p>
            <w:pPr>
              <w:pStyle w:val="Normal"/>
              <w:widowControl w:val="false"/>
              <w:shd w:val="clear" w:color="auto" w:fill="FFFFFF"/>
              <w:spacing w:lineRule="auto" w:line="240"/>
              <w:rPr>
                <w:bCs/>
                <w:sz w:val="22"/>
                <w:szCs w:val="22"/>
                <w:highlight w:val="none"/>
              </w:rPr>
            </w:pPr>
            <w:r>
              <w:rPr>
                <w:bCs/>
                <w:sz w:val="22"/>
                <w:szCs w:val="22"/>
              </w:rPr>
              <w:t xml:space="preserve">к Договору подряда </w:t>
            </w:r>
          </w:p>
          <w:p>
            <w:pPr>
              <w:pStyle w:val="Normal"/>
              <w:widowControl w:val="false"/>
              <w:shd w:val="clear" w:color="auto" w:fill="FFFFFF"/>
              <w:spacing w:lineRule="auto" w:line="240"/>
              <w:rPr>
                <w:bCs/>
                <w:sz w:val="22"/>
                <w:szCs w:val="22"/>
                <w:highlight w:val="none"/>
              </w:rPr>
            </w:pPr>
            <w:r>
              <w:rPr>
                <w:bCs/>
                <w:sz w:val="22"/>
                <w:szCs w:val="22"/>
              </w:rPr>
              <w:t>от «___» ________20__ г. № ___</w:t>
            </w:r>
          </w:p>
          <w:p>
            <w:pPr>
              <w:pStyle w:val="Normal"/>
              <w:widowControl w:val="false"/>
              <w:spacing w:lineRule="auto" w:line="240"/>
              <w:rPr>
                <w:b/>
                <w:bCs/>
                <w:szCs w:val="24"/>
                <w:highlight w:val="lightGray"/>
              </w:rPr>
            </w:pPr>
            <w:r>
              <w:rPr>
                <w:b/>
                <w:bCs/>
                <w:szCs w:val="24"/>
                <w:highlight w:val="lightGray"/>
              </w:rPr>
            </w:r>
          </w:p>
        </w:tc>
      </w:tr>
    </w:tbl>
    <w:p>
      <w:pPr>
        <w:pStyle w:val="Normal"/>
        <w:shd w:val="clear" w:color="auto" w:fill="FFFFFF"/>
        <w:spacing w:lineRule="auto" w:line="240"/>
        <w:jc w:val="center"/>
        <w:rPr>
          <w:b/>
          <w:bCs/>
          <w:szCs w:val="24"/>
        </w:rPr>
      </w:pPr>
      <w:r>
        <w:rPr>
          <w:b/>
          <w:bCs/>
          <w:szCs w:val="24"/>
        </w:rPr>
        <w:t>Акт сдачи-приемки проектных работ</w:t>
      </w:r>
    </w:p>
    <w:p>
      <w:pPr>
        <w:pStyle w:val="Normal"/>
        <w:shd w:val="clear" w:color="auto" w:fill="FFFFFF"/>
        <w:spacing w:lineRule="auto" w:line="240"/>
        <w:jc w:val="center"/>
        <w:rPr>
          <w:b/>
          <w:bCs/>
          <w:highlight w:val="none"/>
        </w:rPr>
      </w:pPr>
      <w:r>
        <w:rPr>
          <w:b/>
          <w:bCs/>
          <w:szCs w:val="24"/>
        </w:rPr>
        <w:t>(форма)</w:t>
      </w:r>
    </w:p>
    <w:tbl>
      <w:tblPr>
        <w:tblW w:w="9420" w:type="dxa"/>
        <w:jc w:val="left"/>
        <w:tblInd w:w="-98" w:type="dxa"/>
        <w:tblLayout w:type="fixed"/>
        <w:tblCellMar>
          <w:top w:w="0" w:type="dxa"/>
          <w:left w:w="10" w:type="dxa"/>
          <w:bottom w:w="0" w:type="dxa"/>
          <w:right w:w="10" w:type="dxa"/>
        </w:tblCellMar>
        <w:tblLook w:val="04a0" w:noHBand="0" w:noVBand="1" w:firstColumn="1" w:lastRow="0" w:lastColumn="0" w:firstRow="1"/>
      </w:tblPr>
      <w:tblGrid>
        <w:gridCol w:w="16"/>
        <w:gridCol w:w="9403"/>
      </w:tblGrid>
      <w:tr>
        <w:trPr>
          <w:trHeight w:val="9071" w:hRule="atLeast"/>
        </w:trPr>
        <w:tc>
          <w:tcPr>
            <w:tcW w:w="1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Cs/>
                <w:szCs w:val="24"/>
              </w:rPr>
            </w:pPr>
            <w:r>
              <w:rPr>
                <w:b/>
                <w:bCs/>
                <w:szCs w:val="24"/>
              </w:rPr>
            </w:r>
          </w:p>
        </w:tc>
        <w:tc>
          <w:tcPr>
            <w:tcW w:w="9403"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Cs/>
                <w:sz w:val="20"/>
                <w:szCs w:val="20"/>
              </w:rPr>
            </w:pPr>
            <w:r>
              <w:rPr>
                <w:b/>
                <w:bCs/>
                <w:sz w:val="20"/>
                <w:szCs w:val="20"/>
              </w:rPr>
              <w:t>АКТ СДАЧИ-ПРИЕМКИ ПРОЕКТНЫХ РАБОТ №  _________</w:t>
            </w:r>
          </w:p>
          <w:tbl>
            <w:tblPr>
              <w:tblW w:w="9326"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3"/>
              <w:gridCol w:w="827"/>
              <w:gridCol w:w="2854"/>
              <w:gridCol w:w="1208"/>
              <w:gridCol w:w="337"/>
              <w:gridCol w:w="337"/>
              <w:gridCol w:w="1356"/>
              <w:gridCol w:w="1300"/>
              <w:gridCol w:w="1093"/>
            </w:tblGrid>
            <w:tr>
              <w:trPr>
                <w:trHeight w:val="2686" w:hRule="atLeast"/>
              </w:trPr>
              <w:tc>
                <w:tcPr>
                  <w:tcW w:w="9325" w:type="dxa"/>
                  <w:gridSpan w:val="9"/>
                  <w:tcBorders/>
                  <w:vAlign w:val="bottom"/>
                </w:tcPr>
                <w:p>
                  <w:pPr>
                    <w:pStyle w:val="Normal"/>
                    <w:widowControl w:val="false"/>
                    <w:spacing w:lineRule="auto" w:line="240"/>
                    <w:rPr>
                      <w:sz w:val="20"/>
                      <w:szCs w:val="20"/>
                    </w:rPr>
                  </w:pPr>
                  <w:r>
                    <w:rPr>
                      <w:sz w:val="20"/>
                      <w:szCs w:val="20"/>
                    </w:rPr>
                    <w:t>г.___________                                                                                       «_____» _________20_г.</w:t>
                  </w:r>
                </w:p>
                <w:tbl>
                  <w:tblPr>
                    <w:tblW w:w="9590"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356"/>
                    <w:gridCol w:w="8164"/>
                    <w:gridCol w:w="70"/>
                  </w:tblGrid>
                  <w:tr>
                    <w:trPr>
                      <w:trHeight w:val="255" w:hRule="atLeast"/>
                    </w:trPr>
                    <w:tc>
                      <w:tcPr>
                        <w:tcW w:w="1356" w:type="dxa"/>
                        <w:tcBorders/>
                        <w:vAlign w:val="bottom"/>
                      </w:tcPr>
                      <w:p>
                        <w:pPr>
                          <w:pStyle w:val="Normal"/>
                          <w:widowControl w:val="false"/>
                          <w:spacing w:lineRule="auto" w:line="240"/>
                          <w:ind w:hanging="0"/>
                          <w:jc w:val="left"/>
                          <w:rPr>
                            <w:sz w:val="22"/>
                            <w:szCs w:val="22"/>
                          </w:rPr>
                        </w:pPr>
                        <w:r>
                          <w:rPr>
                            <w:sz w:val="22"/>
                            <w:szCs w:val="22"/>
                          </w:rPr>
                        </w:r>
                      </w:p>
                      <w:p>
                        <w:pPr>
                          <w:pStyle w:val="Normal"/>
                          <w:widowControl w:val="false"/>
                          <w:spacing w:lineRule="auto" w:line="240"/>
                          <w:ind w:hanging="0"/>
                          <w:jc w:val="left"/>
                          <w:rPr>
                            <w:sz w:val="22"/>
                            <w:szCs w:val="22"/>
                          </w:rPr>
                        </w:pPr>
                        <w:r>
                          <w:rPr>
                            <w:sz w:val="22"/>
                            <w:szCs w:val="22"/>
                          </w:rPr>
                          <w:t xml:space="preserve">Заказчик: </w:t>
                        </w:r>
                      </w:p>
                    </w:tc>
                    <w:tc>
                      <w:tcPr>
                        <w:tcW w:w="8164" w:type="dxa"/>
                        <w:tcBorders>
                          <w:bottom w:val="single" w:sz="4" w:space="0" w:color="000000"/>
                        </w:tcBorders>
                        <w:vAlign w:val="bottom"/>
                      </w:tcPr>
                      <w:p>
                        <w:pPr>
                          <w:pStyle w:val="Normal"/>
                          <w:widowControl w:val="false"/>
                          <w:spacing w:lineRule="auto" w:line="240"/>
                          <w:ind w:hanging="0"/>
                          <w:jc w:val="left"/>
                          <w:rPr>
                            <w:sz w:val="22"/>
                            <w:szCs w:val="22"/>
                          </w:rPr>
                        </w:pPr>
                        <w:r>
                          <w:rPr>
                            <w:sz w:val="22"/>
                            <w:szCs w:val="22"/>
                          </w:rPr>
                        </w:r>
                      </w:p>
                    </w:tc>
                    <w:tc>
                      <w:tcPr>
                        <w:tcW w:w="70" w:type="dxa"/>
                        <w:tcBorders/>
                        <w:tcMar>
                          <w:top w:w="0" w:type="dxa"/>
                          <w:left w:w="0" w:type="dxa"/>
                          <w:right w:w="0" w:type="dxa"/>
                        </w:tcMar>
                      </w:tcPr>
                      <w:p>
                        <w:pPr>
                          <w:pStyle w:val="Normal"/>
                          <w:widowControl w:val="false"/>
                          <w:rPr/>
                        </w:pPr>
                        <w:r>
                          <w:rPr/>
                        </w:r>
                      </w:p>
                    </w:tc>
                  </w:tr>
                  <w:tr>
                    <w:trPr>
                      <w:trHeight w:val="255" w:hRule="atLeast"/>
                    </w:trPr>
                    <w:tc>
                      <w:tcPr>
                        <w:tcW w:w="1356" w:type="dxa"/>
                        <w:tcBorders/>
                        <w:vAlign w:val="bottom"/>
                      </w:tcPr>
                      <w:p>
                        <w:pPr>
                          <w:pStyle w:val="Normal"/>
                          <w:widowControl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pacing w:lineRule="auto" w:line="240"/>
                          <w:ind w:hanging="0"/>
                          <w:jc w:val="left"/>
                          <w:rPr>
                            <w:sz w:val="22"/>
                            <w:szCs w:val="22"/>
                          </w:rPr>
                        </w:pPr>
                        <w:r>
                          <w:rPr>
                            <w:sz w:val="22"/>
                            <w:szCs w:val="22"/>
                          </w:rPr>
                        </w:r>
                      </w:p>
                    </w:tc>
                    <w:tc>
                      <w:tcPr>
                        <w:tcW w:w="8234" w:type="dxa"/>
                        <w:gridSpan w:val="2"/>
                        <w:tcBorders/>
                      </w:tcPr>
                      <w:p>
                        <w:pPr>
                          <w:pStyle w:val="Normal"/>
                          <w:widowControl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rPr>
                      <w:sz w:val="20"/>
                      <w:szCs w:val="20"/>
                    </w:rPr>
                  </w:pPr>
                  <w:r>
                    <w:rPr>
                      <w:sz w:val="20"/>
                      <w:szCs w:val="20"/>
                    </w:rPr>
                  </w:r>
                </w:p>
              </w:tc>
            </w:tr>
            <w:tr>
              <w:trPr>
                <w:trHeight w:val="452" w:hRule="atLeast"/>
              </w:trPr>
              <w:tc>
                <w:tcPr>
                  <w:tcW w:w="9325" w:type="dxa"/>
                  <w:gridSpan w:val="9"/>
                  <w:tcBorders/>
                  <w:vAlign w:val="bottom"/>
                </w:tcPr>
                <w:p>
                  <w:pPr>
                    <w:pStyle w:val="Normal"/>
                    <w:widowControl w:val="false"/>
                    <w:spacing w:lineRule="auto" w:line="240"/>
                    <w:rPr>
                      <w:sz w:val="20"/>
                      <w:szCs w:val="20"/>
                    </w:rPr>
                  </w:pPr>
                  <w:r>
                    <w:rPr>
                      <w:sz w:val="20"/>
                      <w:szCs w:val="20"/>
                    </w:rPr>
                    <w:t>Сметная (договорная) стоимость по договору № _____  от  _________ 20__ г.  -  ___________ руб.</w:t>
                  </w:r>
                </w:p>
                <w:p>
                  <w:pPr>
                    <w:pStyle w:val="Normal"/>
                    <w:widowControl w:val="false"/>
                    <w:spacing w:lineRule="auto" w:line="240"/>
                    <w:rPr>
                      <w:i/>
                      <w:i/>
                      <w:iCs/>
                      <w:sz w:val="20"/>
                      <w:szCs w:val="20"/>
                    </w:rPr>
                  </w:pPr>
                  <w:r>
                    <w:rPr>
                      <w:i/>
                      <w:iCs/>
                      <w:sz w:val="20"/>
                      <w:szCs w:val="20"/>
                    </w:rPr>
                    <w:t xml:space="preserve"> </w:t>
                  </w:r>
                </w:p>
              </w:tc>
            </w:tr>
            <w:tr>
              <w:trPr>
                <w:trHeight w:val="452" w:hRule="atLeast"/>
              </w:trPr>
              <w:tc>
                <w:tcPr>
                  <w:tcW w:w="5239" w:type="dxa"/>
                  <w:gridSpan w:val="5"/>
                  <w:tcBorders/>
                  <w:vAlign w:val="bottom"/>
                </w:tcPr>
                <w:p>
                  <w:pPr>
                    <w:pStyle w:val="Normal"/>
                    <w:widowControl w:val="false"/>
                    <w:spacing w:lineRule="auto" w:line="240"/>
                    <w:ind w:hanging="0"/>
                    <w:rPr>
                      <w:sz w:val="20"/>
                      <w:szCs w:val="20"/>
                    </w:rPr>
                  </w:pPr>
                  <w:r>
                    <w:rPr>
                      <w:sz w:val="20"/>
                      <w:szCs w:val="20"/>
                    </w:rPr>
                  </w:r>
                </w:p>
              </w:tc>
              <w:tc>
                <w:tcPr>
                  <w:tcW w:w="4086" w:type="dxa"/>
                  <w:gridSpan w:val="4"/>
                  <w:tcBorders/>
                  <w:tcMar>
                    <w:top w:w="0" w:type="dxa"/>
                    <w:left w:w="0" w:type="dxa"/>
                    <w:right w:w="0" w:type="dxa"/>
                  </w:tcMar>
                </w:tcPr>
                <w:p>
                  <w:pPr>
                    <w:pStyle w:val="Normal"/>
                    <w:widowControl w:val="false"/>
                    <w:spacing w:lineRule="auto" w:line="240"/>
                    <w:ind w:right="180" w:firstLine="567"/>
                    <w:jc w:val="right"/>
                    <w:rPr>
                      <w:sz w:val="20"/>
                      <w:szCs w:val="20"/>
                    </w:rPr>
                  </w:pPr>
                  <w:r>
                    <w:rPr>
                      <w:sz w:val="20"/>
                      <w:szCs w:val="20"/>
                    </w:rPr>
                    <w:t>               </w:t>
                  </w:r>
                  <w:r>
                    <w:rPr>
                      <w:sz w:val="20"/>
                      <w:szCs w:val="20"/>
                    </w:rPr>
                    <w:t xml:space="preserve">Этап № ______ </w:t>
                  </w:r>
                </w:p>
              </w:tc>
            </w:tr>
            <w:tr>
              <w:trPr>
                <w:trHeight w:val="255" w:hRule="atLeast"/>
                <w:cantSplit w:val="true"/>
              </w:trPr>
              <w:tc>
                <w:tcPr>
                  <w:tcW w:w="13" w:type="dxa"/>
                  <w:tcBorders/>
                  <w:tcMar>
                    <w:top w:w="0" w:type="dxa"/>
                    <w:left w:w="0" w:type="dxa"/>
                    <w:right w:w="0" w:type="dxa"/>
                  </w:tcMar>
                </w:tcPr>
                <w:p>
                  <w:pPr>
                    <w:pStyle w:val="Normal"/>
                    <w:widowControl w:val="false"/>
                    <w:spacing w:lineRule="auto" w:line="240"/>
                    <w:ind w:hanging="0"/>
                    <w:jc w:val="center"/>
                    <w:rPr>
                      <w:b/>
                      <w:bCs/>
                      <w:sz w:val="20"/>
                      <w:szCs w:val="20"/>
                    </w:rPr>
                  </w:pPr>
                  <w:r>
                    <w:rPr>
                      <w:b/>
                      <w:bCs/>
                      <w:sz w:val="20"/>
                      <w:szCs w:val="20"/>
                    </w:rPr>
                  </w:r>
                </w:p>
              </w:tc>
              <w:tc>
                <w:tcPr>
                  <w:tcW w:w="827"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 </w:t>
                  </w:r>
                  <w:r>
                    <w:rPr>
                      <w:b/>
                      <w:bCs/>
                      <w:sz w:val="20"/>
                      <w:szCs w:val="20"/>
                    </w:rPr>
                    <w:t>п/п</w:t>
                  </w:r>
                </w:p>
              </w:tc>
              <w:tc>
                <w:tcPr>
                  <w:tcW w:w="2854"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Наименование работ</w:t>
                  </w:r>
                </w:p>
              </w:tc>
              <w:tc>
                <w:tcPr>
                  <w:tcW w:w="5631"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Выполнено работ</w:t>
                  </w:r>
                </w:p>
              </w:tc>
            </w:tr>
            <w:tr>
              <w:trPr>
                <w:trHeight w:val="666" w:hRule="atLeast"/>
                <w:cantSplit w:val="true"/>
              </w:trPr>
              <w:tc>
                <w:tcPr>
                  <w:tcW w:w="13" w:type="dxa"/>
                  <w:tcBorders/>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827" w:type="dxa"/>
                  <w:vMerge w:val="continu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854"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08"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pacing w:lineRule="auto" w:line="240"/>
                    <w:ind w:hanging="0"/>
                    <w:jc w:val="center"/>
                    <w:rPr>
                      <w:b/>
                      <w:bCs/>
                      <w:sz w:val="20"/>
                      <w:szCs w:val="20"/>
                    </w:rPr>
                  </w:pPr>
                  <w:r>
                    <w:rPr>
                      <w:b/>
                      <w:bCs/>
                      <w:sz w:val="20"/>
                      <w:szCs w:val="20"/>
                    </w:rPr>
                    <w:t>изм.</w:t>
                  </w:r>
                </w:p>
              </w:tc>
              <w:tc>
                <w:tcPr>
                  <w:tcW w:w="674"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коли-чество</w:t>
                  </w:r>
                </w:p>
              </w:tc>
              <w:tc>
                <w:tcPr>
                  <w:tcW w:w="1356"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pacing w:lineRule="auto" w:line="240"/>
                    <w:ind w:hanging="0"/>
                    <w:jc w:val="center"/>
                    <w:rPr>
                      <w:b/>
                      <w:bCs/>
                      <w:sz w:val="20"/>
                      <w:szCs w:val="20"/>
                    </w:rPr>
                  </w:pPr>
                  <w:r>
                    <w:rPr>
                      <w:b/>
                      <w:bCs/>
                      <w:sz w:val="20"/>
                      <w:szCs w:val="20"/>
                    </w:rPr>
                    <w:t>1 ед., руб.</w:t>
                  </w:r>
                </w:p>
              </w:tc>
              <w:tc>
                <w:tcPr>
                  <w:tcW w:w="1300"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pacing w:lineRule="auto" w:line="240"/>
                    <w:ind w:hanging="0"/>
                    <w:jc w:val="center"/>
                    <w:rPr>
                      <w:b/>
                      <w:bCs/>
                      <w:sz w:val="20"/>
                      <w:szCs w:val="20"/>
                    </w:rPr>
                  </w:pPr>
                  <w:r>
                    <w:rPr>
                      <w:b/>
                      <w:bCs/>
                      <w:sz w:val="20"/>
                      <w:szCs w:val="20"/>
                    </w:rPr>
                    <w:t>руб.</w:t>
                  </w:r>
                </w:p>
              </w:tc>
              <w:tc>
                <w:tcPr>
                  <w:tcW w:w="1093"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в т.ч. НДС, руб.</w:t>
                  </w:r>
                </w:p>
              </w:tc>
            </w:tr>
            <w:tr>
              <w:trPr>
                <w:trHeight w:val="235" w:hRule="atLeast"/>
              </w:trPr>
              <w:tc>
                <w:tcPr>
                  <w:tcW w:w="13" w:type="dxa"/>
                  <w:tcBorders/>
                  <w:tcMar>
                    <w:top w:w="0" w:type="dxa"/>
                    <w:left w:w="0" w:type="dxa"/>
                    <w:right w:w="0" w:type="dxa"/>
                  </w:tcMar>
                </w:tcPr>
                <w:p>
                  <w:pPr>
                    <w:pStyle w:val="Normal"/>
                    <w:widowControl w:val="false"/>
                    <w:spacing w:lineRule="auto" w:line="240"/>
                    <w:ind w:hanging="0"/>
                    <w:jc w:val="center"/>
                    <w:rPr>
                      <w:b/>
                      <w:bCs/>
                      <w:sz w:val="20"/>
                      <w:szCs w:val="20"/>
                    </w:rPr>
                  </w:pPr>
                  <w:r>
                    <w:rPr>
                      <w:b/>
                      <w:bCs/>
                      <w:sz w:val="20"/>
                      <w:szCs w:val="20"/>
                    </w:rPr>
                  </w:r>
                </w:p>
              </w:tc>
              <w:tc>
                <w:tcPr>
                  <w:tcW w:w="827"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1</w:t>
                  </w:r>
                </w:p>
              </w:tc>
              <w:tc>
                <w:tcPr>
                  <w:tcW w:w="2854"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2</w:t>
                  </w:r>
                </w:p>
              </w:tc>
              <w:tc>
                <w:tcPr>
                  <w:tcW w:w="1208"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3</w:t>
                  </w:r>
                </w:p>
              </w:tc>
              <w:tc>
                <w:tcPr>
                  <w:tcW w:w="674" w:type="dxa"/>
                  <w:gridSpan w:val="2"/>
                  <w:tcBorders>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4</w:t>
                  </w:r>
                </w:p>
              </w:tc>
              <w:tc>
                <w:tcPr>
                  <w:tcW w:w="1356"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5</w:t>
                  </w:r>
                </w:p>
              </w:tc>
              <w:tc>
                <w:tcPr>
                  <w:tcW w:w="1300"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6</w:t>
                  </w:r>
                </w:p>
              </w:tc>
              <w:tc>
                <w:tcPr>
                  <w:tcW w:w="1093"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ind w:hanging="0"/>
                    <w:jc w:val="center"/>
                    <w:rPr>
                      <w:b/>
                      <w:bCs/>
                      <w:sz w:val="20"/>
                      <w:szCs w:val="20"/>
                    </w:rPr>
                  </w:pPr>
                  <w:r>
                    <w:rPr>
                      <w:b/>
                      <w:bCs/>
                      <w:sz w:val="20"/>
                      <w:szCs w:val="20"/>
                    </w:rPr>
                    <w:t>7</w:t>
                  </w:r>
                </w:p>
              </w:tc>
            </w:tr>
            <w:tr>
              <w:trPr>
                <w:trHeight w:val="235" w:hRule="atLeast"/>
              </w:trPr>
              <w:tc>
                <w:tcPr>
                  <w:tcW w:w="13" w:type="dxa"/>
                  <w:tcBorders/>
                  <w:tcMar>
                    <w:top w:w="0" w:type="dxa"/>
                    <w:left w:w="0" w:type="dxa"/>
                    <w:right w:w="0" w:type="dxa"/>
                  </w:tcMar>
                </w:tcPr>
                <w:p>
                  <w:pPr>
                    <w:pStyle w:val="Normal"/>
                    <w:widowControl w:val="false"/>
                    <w:spacing w:lineRule="auto" w:line="240"/>
                    <w:jc w:val="center"/>
                    <w:rPr>
                      <w:sz w:val="20"/>
                      <w:szCs w:val="20"/>
                    </w:rPr>
                  </w:pPr>
                  <w:r>
                    <w:rPr>
                      <w:sz w:val="20"/>
                      <w:szCs w:val="20"/>
                    </w:rPr>
                  </w:r>
                </w:p>
              </w:tc>
              <w:tc>
                <w:tcPr>
                  <w:tcW w:w="827"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pacing w:lineRule="auto" w:line="240"/>
                    <w:jc w:val="center"/>
                    <w:rPr>
                      <w:sz w:val="20"/>
                      <w:szCs w:val="20"/>
                    </w:rPr>
                  </w:pPr>
                  <w:r>
                    <w:rPr>
                      <w:sz w:val="20"/>
                      <w:szCs w:val="20"/>
                    </w:rPr>
                  </w:r>
                </w:p>
              </w:tc>
              <w:tc>
                <w:tcPr>
                  <w:tcW w:w="2854"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208"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674" w:type="dxa"/>
                  <w:gridSpan w:val="2"/>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356"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300"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093"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r>
            <w:tr>
              <w:trPr>
                <w:trHeight w:val="235" w:hRule="atLeast"/>
              </w:trPr>
              <w:tc>
                <w:tcPr>
                  <w:tcW w:w="13" w:type="dxa"/>
                  <w:tcBorders/>
                  <w:tcMar>
                    <w:top w:w="0" w:type="dxa"/>
                    <w:left w:w="0" w:type="dxa"/>
                    <w:right w:w="0" w:type="dxa"/>
                  </w:tcMar>
                </w:tcPr>
                <w:p>
                  <w:pPr>
                    <w:pStyle w:val="Normal"/>
                    <w:widowControl w:val="false"/>
                    <w:spacing w:lineRule="auto" w:line="240"/>
                    <w:jc w:val="center"/>
                    <w:rPr>
                      <w:sz w:val="20"/>
                      <w:szCs w:val="20"/>
                    </w:rPr>
                  </w:pPr>
                  <w:r>
                    <w:rPr>
                      <w:sz w:val="20"/>
                      <w:szCs w:val="20"/>
                    </w:rPr>
                  </w:r>
                </w:p>
              </w:tc>
              <w:tc>
                <w:tcPr>
                  <w:tcW w:w="827"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pacing w:lineRule="auto" w:line="240"/>
                    <w:jc w:val="center"/>
                    <w:rPr>
                      <w:sz w:val="20"/>
                      <w:szCs w:val="20"/>
                    </w:rPr>
                  </w:pPr>
                  <w:r>
                    <w:rPr>
                      <w:sz w:val="20"/>
                      <w:szCs w:val="20"/>
                    </w:rPr>
                  </w:r>
                </w:p>
              </w:tc>
              <w:tc>
                <w:tcPr>
                  <w:tcW w:w="2854"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208"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674" w:type="dxa"/>
                  <w:gridSpan w:val="2"/>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356"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300"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093"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r>
            <w:tr>
              <w:trPr>
                <w:trHeight w:val="235" w:hRule="atLeast"/>
              </w:trPr>
              <w:tc>
                <w:tcPr>
                  <w:tcW w:w="13" w:type="dxa"/>
                  <w:tcBorders/>
                  <w:tcMar>
                    <w:top w:w="0" w:type="dxa"/>
                    <w:left w:w="0" w:type="dxa"/>
                    <w:right w:w="0" w:type="dxa"/>
                  </w:tcMar>
                </w:tcPr>
                <w:p>
                  <w:pPr>
                    <w:pStyle w:val="Normal"/>
                    <w:widowControl w:val="false"/>
                    <w:spacing w:lineRule="auto" w:line="240"/>
                    <w:jc w:val="center"/>
                    <w:rPr>
                      <w:sz w:val="20"/>
                      <w:szCs w:val="20"/>
                    </w:rPr>
                  </w:pPr>
                  <w:r>
                    <w:rPr>
                      <w:sz w:val="20"/>
                      <w:szCs w:val="20"/>
                    </w:rPr>
                  </w:r>
                </w:p>
              </w:tc>
              <w:tc>
                <w:tcPr>
                  <w:tcW w:w="827"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pacing w:lineRule="auto" w:line="240"/>
                    <w:jc w:val="center"/>
                    <w:rPr>
                      <w:sz w:val="20"/>
                      <w:szCs w:val="20"/>
                    </w:rPr>
                  </w:pPr>
                  <w:r>
                    <w:rPr>
                      <w:sz w:val="20"/>
                      <w:szCs w:val="20"/>
                    </w:rPr>
                  </w:r>
                </w:p>
              </w:tc>
              <w:tc>
                <w:tcPr>
                  <w:tcW w:w="2854"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208"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674" w:type="dxa"/>
                  <w:gridSpan w:val="2"/>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356"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300"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093"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r>
            <w:tr>
              <w:trPr>
                <w:trHeight w:val="235" w:hRule="atLeast"/>
              </w:trPr>
              <w:tc>
                <w:tcPr>
                  <w:tcW w:w="13" w:type="dxa"/>
                  <w:tcBorders/>
                  <w:tcMar>
                    <w:top w:w="0" w:type="dxa"/>
                    <w:left w:w="0" w:type="dxa"/>
                    <w:right w:w="0" w:type="dxa"/>
                  </w:tcMar>
                </w:tcPr>
                <w:p>
                  <w:pPr>
                    <w:pStyle w:val="Normal"/>
                    <w:widowControl w:val="false"/>
                    <w:spacing w:lineRule="auto" w:line="240"/>
                    <w:rPr>
                      <w:sz w:val="20"/>
                      <w:szCs w:val="20"/>
                    </w:rPr>
                  </w:pPr>
                  <w:r>
                    <w:rPr>
                      <w:sz w:val="20"/>
                      <w:szCs w:val="20"/>
                    </w:rPr>
                  </w:r>
                </w:p>
              </w:tc>
              <w:tc>
                <w:tcPr>
                  <w:tcW w:w="3681"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t>Выполнено работ по этапу</w:t>
                  </w:r>
                </w:p>
              </w:tc>
              <w:tc>
                <w:tcPr>
                  <w:tcW w:w="3238"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jc w:val="center"/>
                    <w:rPr>
                      <w:b/>
                      <w:bCs/>
                      <w:sz w:val="20"/>
                      <w:szCs w:val="20"/>
                    </w:rPr>
                  </w:pPr>
                  <w:r>
                    <w:rPr>
                      <w:b/>
                      <w:bCs/>
                      <w:sz w:val="20"/>
                      <w:szCs w:val="20"/>
                    </w:rPr>
                    <w:t>ИТОГО</w:t>
                  </w:r>
                </w:p>
              </w:tc>
              <w:tc>
                <w:tcPr>
                  <w:tcW w:w="1300"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c>
                <w:tcPr>
                  <w:tcW w:w="1093" w:type="dxa"/>
                  <w:tcBorders>
                    <w:bottom w:val="single" w:sz="8" w:space="0" w:color="000000"/>
                    <w:right w:val="single" w:sz="8" w:space="0" w:color="000000"/>
                  </w:tcBorders>
                  <w:tcMar>
                    <w:top w:w="0" w:type="dxa"/>
                    <w:left w:w="108" w:type="dxa"/>
                    <w:right w:w="108" w:type="dxa"/>
                  </w:tcMar>
                </w:tcPr>
                <w:p>
                  <w:pPr>
                    <w:pStyle w:val="Normal"/>
                    <w:widowControl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51"/>
              <w:gridCol w:w="4049"/>
              <w:gridCol w:w="711"/>
              <w:gridCol w:w="343"/>
              <w:gridCol w:w="4166"/>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От Заказчика:</w:t>
                  </w:r>
                </w:p>
              </w:tc>
              <w:tc>
                <w:tcPr>
                  <w:tcW w:w="711" w:type="dxa"/>
                  <w:vMerge w:val="restart"/>
                  <w:tcBorders/>
                </w:tcPr>
                <w:p>
                  <w:pPr>
                    <w:pStyle w:val="Normal"/>
                    <w:widowControl w:val="false"/>
                    <w:spacing w:lineRule="auto" w:line="240"/>
                    <w:rPr>
                      <w:sz w:val="20"/>
                      <w:szCs w:val="20"/>
                    </w:rPr>
                  </w:pPr>
                  <w:r>
                    <w:rPr>
                      <w:sz w:val="20"/>
                      <w:szCs w:val="20"/>
                    </w:rPr>
                  </w:r>
                </w:p>
              </w:tc>
              <w:tc>
                <w:tcPr>
                  <w:tcW w:w="4509" w:type="dxa"/>
                  <w:gridSpan w:val="2"/>
                  <w:tcBorders/>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tcPr>
                <w:p>
                  <w:pPr>
                    <w:pStyle w:val="Normal"/>
                    <w:widowControl w:val="false"/>
                    <w:spacing w:lineRule="auto" w:line="240"/>
                    <w:rPr>
                      <w:b/>
                      <w:bCs/>
                      <w:sz w:val="20"/>
                      <w:szCs w:val="20"/>
                    </w:rPr>
                  </w:pPr>
                  <w:r>
                    <w:rPr>
                      <w:b/>
                      <w:bCs/>
                      <w:sz w:val="20"/>
                      <w:szCs w:val="20"/>
                    </w:rPr>
                  </w:r>
                </w:p>
              </w:tc>
              <w:tc>
                <w:tcPr>
                  <w:tcW w:w="71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09" w:type="dxa"/>
                  <w:gridSpan w:val="2"/>
                  <w:tcBorders/>
                </w:tcPr>
                <w:p>
                  <w:pPr>
                    <w:pStyle w:val="Normal"/>
                    <w:widowControl w:val="false"/>
                    <w:spacing w:lineRule="auto" w:line="240"/>
                    <w:rPr>
                      <w:b/>
                      <w:bCs/>
                      <w:sz w:val="20"/>
                      <w:szCs w:val="20"/>
                    </w:rPr>
                  </w:pPr>
                  <w:r>
                    <w:rPr>
                      <w:b/>
                      <w:bCs/>
                      <w:sz w:val="20"/>
                      <w:szCs w:val="20"/>
                    </w:rPr>
                  </w:r>
                </w:p>
              </w:tc>
            </w:tr>
            <w:tr>
              <w:trPr>
                <w:trHeight w:val="230" w:hRule="atLeast"/>
                <w:cantSplit w:val="true"/>
              </w:trPr>
              <w:tc>
                <w:tcPr>
                  <w:tcW w:w="451" w:type="dxa"/>
                  <w:vMerge w:val="restart"/>
                  <w:tcBorders/>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pacing w:lineRule="auto" w:line="240"/>
                    <w:jc w:val="center"/>
                    <w:rPr>
                      <w:sz w:val="20"/>
                      <w:szCs w:val="20"/>
                    </w:rPr>
                  </w:pPr>
                  <w:r>
                    <w:rPr>
                      <w:i/>
                      <w:iCs/>
                      <w:sz w:val="20"/>
                      <w:szCs w:val="20"/>
                    </w:rPr>
                    <w:t>(должность)</w:t>
                  </w:r>
                </w:p>
              </w:tc>
              <w:tc>
                <w:tcPr>
                  <w:tcW w:w="71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3" w:type="dxa"/>
                  <w:vMerge w:val="restart"/>
                  <w:tcBorders/>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pacing w:lineRule="auto" w:line="240"/>
                    <w:jc w:val="center"/>
                    <w:rPr>
                      <w:sz w:val="20"/>
                      <w:szCs w:val="20"/>
                    </w:rPr>
                  </w:pPr>
                  <w:r>
                    <w:rPr>
                      <w:i/>
                      <w:iCs/>
                      <w:sz w:val="20"/>
                      <w:szCs w:val="20"/>
                    </w:rPr>
                    <w:t>(должность)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pacing w:lineRule="auto" w:line="240"/>
                    <w:rPr>
                      <w:sz w:val="20"/>
                      <w:szCs w:val="20"/>
                    </w:rPr>
                  </w:pPr>
                  <w:r>
                    <w:rPr>
                      <w:sz w:val="20"/>
                      <w:szCs w:val="20"/>
                    </w:rPr>
                  </w:r>
                </w:p>
              </w:tc>
              <w:tc>
                <w:tcPr>
                  <w:tcW w:w="71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pacing w:lineRule="auto" w:line="240"/>
                    <w:jc w:val="center"/>
                    <w:rPr>
                      <w:sz w:val="20"/>
                      <w:szCs w:val="20"/>
                    </w:rPr>
                  </w:pPr>
                  <w:r>
                    <w:rPr>
                      <w:i/>
                      <w:iCs/>
                      <w:sz w:val="20"/>
                      <w:szCs w:val="20"/>
                    </w:rPr>
                    <w:t>(подпись)</w:t>
                  </w:r>
                </w:p>
              </w:tc>
              <w:tc>
                <w:tcPr>
                  <w:tcW w:w="71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pacing w:lineRule="auto" w:line="240"/>
                    <w:jc w:val="center"/>
                    <w:rPr>
                      <w:sz w:val="20"/>
                      <w:szCs w:val="20"/>
                    </w:rPr>
                  </w:pPr>
                  <w:r>
                    <w:rPr>
                      <w:i/>
                      <w:iCs/>
                      <w:sz w:val="20"/>
                      <w:szCs w:val="20"/>
                    </w:rPr>
                    <w:t>(подпись)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pacing w:lineRule="auto" w:line="240"/>
                    <w:rPr>
                      <w:sz w:val="20"/>
                      <w:szCs w:val="20"/>
                    </w:rPr>
                  </w:pPr>
                  <w:r>
                    <w:rPr>
                      <w:sz w:val="20"/>
                      <w:szCs w:val="20"/>
                    </w:rPr>
                  </w:r>
                </w:p>
              </w:tc>
              <w:tc>
                <w:tcPr>
                  <w:tcW w:w="71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pacing w:lineRule="auto" w:line="240"/>
                    <w:ind w:firstLine="7"/>
                    <w:jc w:val="center"/>
                    <w:rPr>
                      <w:sz w:val="20"/>
                      <w:szCs w:val="20"/>
                    </w:rPr>
                  </w:pPr>
                  <w:r>
                    <w:rPr>
                      <w:i/>
                      <w:iCs/>
                      <w:sz w:val="20"/>
                      <w:szCs w:val="20"/>
                    </w:rPr>
                    <w:t>(расшифровка подписи)</w:t>
                  </w:r>
                </w:p>
              </w:tc>
              <w:tc>
                <w:tcPr>
                  <w:tcW w:w="71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3"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pacing w:lineRule="auto" w:line="240"/>
                    <w:jc w:val="center"/>
                    <w:rPr>
                      <w:sz w:val="20"/>
                      <w:szCs w:val="20"/>
                    </w:rPr>
                  </w:pPr>
                  <w:r>
                    <w:rPr>
                      <w:i/>
                      <w:iCs/>
                      <w:sz w:val="20"/>
                      <w:szCs w:val="20"/>
                    </w:rPr>
                    <w:t>(расшифровка подписи)</w:t>
                  </w:r>
                </w:p>
              </w:tc>
            </w:tr>
          </w:tbl>
          <w:p>
            <w:pPr>
              <w:pStyle w:val="Normal"/>
              <w:widowControl w:val="false"/>
              <w:spacing w:lineRule="auto" w:line="240"/>
              <w:ind w:right="-76" w:firstLine="567"/>
              <w:jc w:val="center"/>
              <w:rPr>
                <w:szCs w:val="24"/>
              </w:rPr>
            </w:pPr>
            <w:r>
              <w:rPr>
                <w:szCs w:val="24"/>
              </w:rPr>
            </w:r>
          </w:p>
        </w:tc>
      </w:tr>
    </w:tbl>
    <w:p>
      <w:pPr>
        <w:pStyle w:val="Normal"/>
        <w:shd w:val="clear" w:color="auto" w:fill="FFFFFF"/>
        <w:spacing w:lineRule="auto" w:line="240"/>
        <w:jc w:val="center"/>
        <w:rPr>
          <w:b/>
          <w:bCs/>
        </w:rPr>
      </w:pPr>
      <w:r>
        <w:rPr>
          <w:b/>
          <w:bCs/>
        </w:rPr>
      </w:r>
    </w:p>
    <w:p>
      <w:pPr>
        <w:pStyle w:val="Normal"/>
        <w:spacing w:lineRule="auto" w:line="240"/>
        <w:ind w:left="5103" w:firstLine="567"/>
        <w:rPr>
          <w:highlight w:val="yellow"/>
        </w:rPr>
      </w:pPr>
      <w:r>
        <w:rPr>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9</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bCs/>
          <w:sz w:val="22"/>
          <w:szCs w:val="22"/>
        </w:rPr>
        <w:t xml:space="preserve">от «____» __________ 20 _ г. № ____ </w:t>
      </w:r>
    </w:p>
    <w:p>
      <w:pPr>
        <w:pStyle w:val="Normal"/>
        <w:widowControl w:val="false"/>
        <w:spacing w:lineRule="auto" w:line="240"/>
        <w:rPr>
          <w:b/>
          <w:bCs/>
          <w:szCs w:val="24"/>
          <w:highlight w:val="lightGray"/>
        </w:rPr>
      </w:pPr>
      <w:r>
        <w:rPr>
          <w:b/>
          <w:bCs/>
          <w:szCs w:val="24"/>
          <w:highlight w:val="lightGray"/>
        </w:rPr>
      </w:r>
    </w:p>
    <w:p>
      <w:pPr>
        <w:pStyle w:val="Normal"/>
        <w:tabs>
          <w:tab w:val="clear" w:pos="709"/>
          <w:tab w:val="left" w:pos="1134" w:leader="none"/>
        </w:tabs>
        <w:spacing w:lineRule="auto" w:line="240"/>
        <w:jc w:val="center"/>
        <w:rPr>
          <w:b/>
          <w:sz w:val="24"/>
          <w:szCs w:val="24"/>
        </w:rPr>
      </w:pPr>
      <w:r>
        <w:rPr>
          <w:b/>
          <w:sz w:val="24"/>
          <w:szCs w:val="24"/>
        </w:rPr>
        <w:t>Критерии отбора Банков-Гарантов</w:t>
      </w:r>
    </w:p>
    <w:p>
      <w:pPr>
        <w:pStyle w:val="Normal"/>
        <w:tabs>
          <w:tab w:val="clear" w:pos="709"/>
          <w:tab w:val="left" w:pos="1134" w:leader="none"/>
        </w:tabs>
        <w:spacing w:lineRule="auto" w:line="240"/>
        <w:rPr>
          <w:b/>
          <w:sz w:val="24"/>
          <w:szCs w:val="24"/>
        </w:rPr>
      </w:pPr>
      <w:r>
        <w:rPr>
          <w:b/>
          <w:sz w:val="24"/>
          <w:szCs w:val="24"/>
        </w:rPr>
      </w:r>
    </w:p>
    <w:p>
      <w:pPr>
        <w:pStyle w:val="Normal"/>
        <w:tabs>
          <w:tab w:val="clear" w:pos="709"/>
          <w:tab w:val="left" w:pos="1134" w:leader="none"/>
        </w:tabs>
        <w:spacing w:lineRule="auto" w:line="240"/>
        <w:ind w:firstLine="709"/>
        <w:rPr>
          <w:sz w:val="24"/>
          <w:szCs w:val="24"/>
        </w:rPr>
      </w:pPr>
      <w:r>
        <w:rPr>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FootnoteReference"/>
          <w:sz w:val="24"/>
          <w:szCs w:val="24"/>
        </w:rPr>
        <w:footnoteReference w:id="4"/>
      </w:r>
      <w:r>
        <w:rPr>
          <w:sz w:val="24"/>
          <w:szCs w:val="24"/>
        </w:rPr>
        <w:t>, а также соответствовать следующим критериям:</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Reference"/>
          <w:sz w:val="24"/>
          <w:szCs w:val="24"/>
        </w:rPr>
        <w:footnoteReference w:id="5"/>
      </w:r>
      <w:r>
        <w:rPr>
          <w:sz w:val="24"/>
          <w:szCs w:val="24"/>
        </w:rPr>
        <w:t xml:space="preserve">. </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Reference"/>
          <w:sz w:val="24"/>
          <w:szCs w:val="24"/>
        </w:rPr>
        <w:footnoteReference w:id="6"/>
      </w:r>
      <w:r>
        <w:rPr>
          <w:sz w:val="24"/>
          <w:szCs w:val="24"/>
        </w:rPr>
        <w:t>.</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Не иметь просроченную задолженность перед Обществом и компаниями Группы РусГидро.</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Pr>
          <w:rStyle w:val="FootnoteReference"/>
          <w:sz w:val="24"/>
          <w:szCs w:val="24"/>
        </w:rPr>
        <w:footnoteReference w:id="7"/>
      </w:r>
      <w:r>
        <w:rPr>
          <w:sz w:val="24"/>
          <w:szCs w:val="24"/>
        </w:rPr>
        <w:t>.</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Требования, установленные пунктами 2 – 4 настоящих Критериев, не распространяются на кредитные организации:</w:t>
      </w:r>
    </w:p>
    <w:p>
      <w:pPr>
        <w:pStyle w:val="Normal"/>
        <w:numPr>
          <w:ilvl w:val="1"/>
          <w:numId w:val="20"/>
        </w:numPr>
        <w:tabs>
          <w:tab w:val="clear" w:pos="709"/>
          <w:tab w:val="left" w:pos="1134" w:leader="none"/>
        </w:tabs>
        <w:spacing w:lineRule="auto" w:line="240"/>
        <w:ind w:left="0" w:firstLine="709"/>
        <w:rPr>
          <w:sz w:val="24"/>
          <w:szCs w:val="24"/>
        </w:rPr>
      </w:pPr>
      <w:r>
        <w:rPr>
          <w:sz w:val="24"/>
          <w:szCs w:val="24"/>
        </w:rPr>
        <w:t xml:space="preserve"> </w:t>
      </w:r>
      <w:r>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Normal"/>
        <w:numPr>
          <w:ilvl w:val="1"/>
          <w:numId w:val="20"/>
        </w:numPr>
        <w:tabs>
          <w:tab w:val="clear" w:pos="709"/>
          <w:tab w:val="left" w:pos="1134" w:leader="none"/>
        </w:tabs>
        <w:spacing w:lineRule="auto" w:line="240"/>
        <w:ind w:left="0" w:firstLine="709"/>
        <w:rPr>
          <w:sz w:val="24"/>
          <w:szCs w:val="24"/>
        </w:rPr>
      </w:pPr>
      <w:r>
        <w:rPr>
          <w:sz w:val="24"/>
          <w:szCs w:val="24"/>
        </w:rPr>
        <w:t xml:space="preserve"> </w:t>
      </w:r>
      <w:r>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pPr>
        <w:pStyle w:val="Normal"/>
        <w:numPr>
          <w:ilvl w:val="1"/>
          <w:numId w:val="20"/>
        </w:numPr>
        <w:tabs>
          <w:tab w:val="clear" w:pos="709"/>
          <w:tab w:val="left" w:pos="1134" w:leader="none"/>
        </w:tabs>
        <w:spacing w:lineRule="auto" w:line="240"/>
        <w:ind w:left="0" w:firstLine="709"/>
        <w:rPr>
          <w:sz w:val="24"/>
          <w:szCs w:val="24"/>
        </w:rPr>
      </w:pPr>
      <w:r>
        <w:rPr>
          <w:sz w:val="24"/>
          <w:szCs w:val="24"/>
        </w:rPr>
        <w:t xml:space="preserve"> </w:t>
      </w:r>
      <w:r>
        <w:rPr>
          <w:sz w:val="24"/>
          <w:szCs w:val="24"/>
        </w:rPr>
        <w:t>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Normal"/>
        <w:numPr>
          <w:ilvl w:val="1"/>
          <w:numId w:val="20"/>
        </w:numPr>
        <w:tabs>
          <w:tab w:val="clear" w:pos="709"/>
          <w:tab w:val="left" w:pos="1134" w:leader="none"/>
        </w:tabs>
        <w:spacing w:lineRule="auto" w:line="240"/>
        <w:ind w:left="0" w:firstLine="709"/>
        <w:rPr>
          <w:sz w:val="24"/>
          <w:szCs w:val="24"/>
        </w:rPr>
      </w:pPr>
      <w:r>
        <w:rPr>
          <w:sz w:val="24"/>
          <w:szCs w:val="24"/>
        </w:rPr>
        <w:t xml:space="preserve"> </w:t>
      </w:r>
      <w:r>
        <w:rPr>
          <w:sz w:val="24"/>
          <w:szCs w:val="24"/>
        </w:rPr>
        <w:t>ВЭБ.РФ.</w:t>
      </w:r>
    </w:p>
    <w:p>
      <w:pPr>
        <w:pStyle w:val="Normal"/>
        <w:numPr>
          <w:ilvl w:val="1"/>
          <w:numId w:val="19"/>
        </w:numPr>
        <w:tabs>
          <w:tab w:val="clear" w:pos="709"/>
          <w:tab w:val="left" w:pos="1134" w:leader="none"/>
        </w:tabs>
        <w:spacing w:lineRule="auto" w:line="240"/>
        <w:ind w:left="0" w:firstLine="710"/>
        <w:rPr>
          <w:sz w:val="24"/>
          <w:szCs w:val="24"/>
        </w:rPr>
      </w:pPr>
      <w:r>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pPr>
        <w:pStyle w:val="Normal"/>
        <w:tabs>
          <w:tab w:val="clear" w:pos="709"/>
          <w:tab w:val="left" w:pos="1134" w:leader="none"/>
        </w:tabs>
        <w:spacing w:lineRule="auto" w:line="240"/>
        <w:ind w:firstLine="709"/>
        <w:jc w:val="center"/>
        <w:rPr>
          <w:sz w:val="24"/>
          <w:szCs w:val="24"/>
        </w:rPr>
      </w:pPr>
      <w:r>
        <w:rPr>
          <w:b/>
          <w:i/>
          <w:sz w:val="24"/>
          <w:szCs w:val="24"/>
        </w:rPr>
        <w:t>Lim</w:t>
      </w:r>
      <w:r>
        <w:rPr>
          <w:b/>
          <w:i/>
          <w:sz w:val="24"/>
          <w:szCs w:val="24"/>
          <w:vertAlign w:val="subscript"/>
        </w:rPr>
        <w:t>Ai</w:t>
      </w:r>
      <w:r>
        <w:rPr>
          <w:b/>
          <w:i/>
          <w:sz w:val="24"/>
          <w:szCs w:val="24"/>
        </w:rPr>
        <w:t xml:space="preserve">  = r</w:t>
      </w:r>
      <w:r>
        <w:rPr>
          <w:b/>
          <w:i/>
          <w:sz w:val="24"/>
          <w:szCs w:val="24"/>
          <w:vertAlign w:val="subscript"/>
        </w:rPr>
        <w:t>i</w:t>
      </w:r>
      <w:r>
        <w:rPr>
          <w:b/>
          <w:i/>
          <w:sz w:val="24"/>
          <w:szCs w:val="24"/>
        </w:rPr>
        <w:t xml:space="preserve"> × СK</w:t>
      </w:r>
      <w:r>
        <w:rPr>
          <w:b/>
          <w:i/>
          <w:sz w:val="24"/>
          <w:szCs w:val="24"/>
          <w:vertAlign w:val="subscript"/>
        </w:rPr>
        <w:t>i</w:t>
      </w:r>
      <w:r>
        <w:rPr>
          <w:sz w:val="24"/>
          <w:szCs w:val="24"/>
        </w:rPr>
        <w:t>, где</w:t>
      </w:r>
    </w:p>
    <w:tbl>
      <w:tblPr>
        <w:tblW w:w="9606"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817"/>
        <w:gridCol w:w="280"/>
        <w:gridCol w:w="8509"/>
      </w:tblGrid>
      <w:tr>
        <w:trPr>
          <w:trHeight w:val="426" w:hRule="atLeast"/>
        </w:trPr>
        <w:tc>
          <w:tcPr>
            <w:tcW w:w="817" w:type="dxa"/>
            <w:tcBorders/>
            <w:shd w:color="auto" w:fill="auto" w:val="clear"/>
          </w:tcPr>
          <w:p>
            <w:pPr>
              <w:pStyle w:val="Normal"/>
              <w:widowControl w:val="false"/>
              <w:spacing w:lineRule="auto" w:line="240"/>
              <w:ind w:right="-108" w:firstLine="567"/>
              <w:rPr>
                <w:color w:val="000000"/>
                <w:sz w:val="24"/>
                <w:szCs w:val="24"/>
              </w:rPr>
            </w:pPr>
            <w:r>
              <w:rPr>
                <w:b/>
                <w:i/>
                <w:color w:val="000000"/>
                <w:sz w:val="24"/>
                <w:szCs w:val="24"/>
              </w:rPr>
              <w:t>Lim</w:t>
            </w:r>
            <w:r>
              <w:rPr>
                <w:b/>
                <w:i/>
                <w:color w:val="000000"/>
                <w:sz w:val="24"/>
                <w:szCs w:val="24"/>
                <w:vertAlign w:val="subscript"/>
                <w:lang w:val="en-US"/>
              </w:rPr>
              <w:t xml:space="preserve">Ai </w:t>
            </w:r>
          </w:p>
        </w:tc>
        <w:tc>
          <w:tcPr>
            <w:tcW w:w="280" w:type="dxa"/>
            <w:tcBorders/>
            <w:shd w:color="auto" w:fill="auto" w:val="clear"/>
          </w:tcPr>
          <w:p>
            <w:pPr>
              <w:pStyle w:val="Normal"/>
              <w:widowControl w:val="false"/>
              <w:spacing w:lineRule="auto" w:line="240"/>
              <w:ind w:left="317" w:right="-108" w:hanging="317"/>
              <w:rPr>
                <w:color w:val="000000"/>
                <w:sz w:val="24"/>
                <w:szCs w:val="24"/>
              </w:rPr>
            </w:pPr>
            <w:r>
              <w:rPr>
                <w:sz w:val="24"/>
                <w:szCs w:val="24"/>
              </w:rPr>
              <w:t xml:space="preserve">-  </w:t>
            </w:r>
          </w:p>
        </w:tc>
        <w:tc>
          <w:tcPr>
            <w:tcW w:w="8509" w:type="dxa"/>
            <w:tcBorders/>
            <w:shd w:color="auto" w:fill="auto" w:val="clear"/>
          </w:tcPr>
          <w:p>
            <w:pPr>
              <w:pStyle w:val="Normal"/>
              <w:widowControl w:val="false"/>
              <w:spacing w:lineRule="auto" w:line="240"/>
              <w:ind w:left="-75" w:right="-108" w:firstLine="567"/>
              <w:rPr>
                <w:color w:val="000000"/>
                <w:sz w:val="24"/>
                <w:szCs w:val="24"/>
              </w:rPr>
            </w:pPr>
            <w:r>
              <w:rPr>
                <w:sz w:val="24"/>
                <w:szCs w:val="24"/>
              </w:rPr>
              <w:t>Лимит риска для i-ой кредитной организации</w:t>
            </w:r>
            <w:r>
              <w:rPr>
                <w:rStyle w:val="FootnoteReference"/>
                <w:sz w:val="24"/>
                <w:szCs w:val="24"/>
                <w:vertAlign w:val="superscript"/>
              </w:rPr>
              <w:footnoteReference w:id="8"/>
            </w:r>
            <w:r>
              <w:rPr>
                <w:sz w:val="24"/>
                <w:szCs w:val="24"/>
                <w:vertAlign w:val="superscript"/>
              </w:rPr>
              <w:t>.</w:t>
            </w:r>
            <w:r>
              <w:rPr>
                <w:sz w:val="24"/>
                <w:szCs w:val="24"/>
              </w:rPr>
              <w:t xml:space="preserve"> </w:t>
            </w:r>
          </w:p>
        </w:tc>
      </w:tr>
      <w:tr>
        <w:trPr>
          <w:trHeight w:val="280" w:hRule="atLeast"/>
        </w:trPr>
        <w:tc>
          <w:tcPr>
            <w:tcW w:w="817" w:type="dxa"/>
            <w:tcBorders/>
            <w:shd w:color="auto" w:fill="auto" w:val="clear"/>
          </w:tcPr>
          <w:p>
            <w:pPr>
              <w:pStyle w:val="Normal"/>
              <w:widowControl w:val="false"/>
              <w:spacing w:lineRule="auto" w:line="240"/>
              <w:ind w:right="-108" w:firstLine="567"/>
              <w:rPr>
                <w:b/>
                <w:i/>
                <w:i/>
                <w:color w:val="000000"/>
                <w:sz w:val="24"/>
                <w:szCs w:val="24"/>
                <w:vertAlign w:val="subscript"/>
              </w:rPr>
            </w:pPr>
            <w:r>
              <w:rPr>
                <w:b/>
                <w:i/>
                <w:color w:val="000000"/>
                <w:sz w:val="24"/>
                <w:szCs w:val="24"/>
              </w:rPr>
              <w:t>С</w:t>
            </w:r>
            <w:r>
              <w:rPr>
                <w:b/>
                <w:i/>
                <w:color w:val="000000"/>
                <w:sz w:val="24"/>
                <w:szCs w:val="24"/>
                <w:lang w:val="en-US"/>
              </w:rPr>
              <w:t>K</w:t>
            </w:r>
            <w:r>
              <w:rPr>
                <w:b/>
                <w:i/>
                <w:color w:val="000000"/>
                <w:sz w:val="24"/>
                <w:szCs w:val="24"/>
                <w:vertAlign w:val="subscript"/>
                <w:lang w:val="en-US"/>
              </w:rPr>
              <w:t>i</w:t>
            </w:r>
          </w:p>
          <w:p>
            <w:pPr>
              <w:pStyle w:val="Normal"/>
              <w:widowControl w:val="false"/>
              <w:spacing w:lineRule="auto" w:line="240"/>
              <w:ind w:right="-108" w:firstLine="567"/>
              <w:rPr>
                <w:color w:val="000000"/>
                <w:sz w:val="24"/>
                <w:szCs w:val="24"/>
              </w:rPr>
            </w:pPr>
            <w:r>
              <w:rPr>
                <w:color w:val="000000"/>
                <w:sz w:val="24"/>
                <w:szCs w:val="24"/>
              </w:rPr>
            </w:r>
          </w:p>
        </w:tc>
        <w:tc>
          <w:tcPr>
            <w:tcW w:w="280" w:type="dxa"/>
            <w:tcBorders/>
            <w:shd w:color="auto" w:fill="auto" w:val="clear"/>
          </w:tcPr>
          <w:p>
            <w:pPr>
              <w:pStyle w:val="Normal"/>
              <w:widowControl w:val="false"/>
              <w:spacing w:lineRule="auto" w:line="240"/>
              <w:ind w:right="-108" w:firstLine="567"/>
              <w:rPr>
                <w:color w:val="000000"/>
                <w:sz w:val="24"/>
                <w:szCs w:val="24"/>
              </w:rPr>
            </w:pPr>
            <w:r>
              <w:rPr>
                <w:sz w:val="24"/>
                <w:szCs w:val="24"/>
              </w:rPr>
              <w:t>-</w:t>
            </w:r>
            <w:r>
              <w:rPr>
                <w:color w:val="000000"/>
                <w:sz w:val="24"/>
                <w:szCs w:val="24"/>
              </w:rPr>
              <w:t xml:space="preserve">  </w:t>
            </w:r>
          </w:p>
        </w:tc>
        <w:tc>
          <w:tcPr>
            <w:tcW w:w="8509" w:type="dxa"/>
            <w:tcBorders/>
            <w:shd w:color="auto" w:fill="auto" w:val="clear"/>
          </w:tcPr>
          <w:p>
            <w:pPr>
              <w:pStyle w:val="Normal"/>
              <w:widowControl w:val="false"/>
              <w:spacing w:lineRule="auto" w:line="240"/>
              <w:ind w:left="-75" w:right="-108" w:firstLine="567"/>
              <w:rPr>
                <w:color w:val="000000"/>
                <w:sz w:val="24"/>
                <w:szCs w:val="24"/>
              </w:rPr>
            </w:pPr>
            <w:r>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3" w:tgtFrame="http://www.cbr.ru">
              <w:r>
                <w:rPr>
                  <w:sz w:val="24"/>
                  <w:szCs w:val="24"/>
                  <w:u w:val="single"/>
                </w:rPr>
                <w:t>www.cbr.ru</w:t>
              </w:r>
            </w:hyperlink>
            <w:r>
              <w:rPr>
                <w:sz w:val="24"/>
                <w:szCs w:val="24"/>
              </w:rPr>
              <w:t>) по строке 000 «Расчет собственных средств (капитала) («Базель III»)», код формы 0409123;</w:t>
            </w:r>
          </w:p>
        </w:tc>
      </w:tr>
      <w:tr>
        <w:trPr>
          <w:trHeight w:val="993" w:hRule="atLeast"/>
        </w:trPr>
        <w:tc>
          <w:tcPr>
            <w:tcW w:w="817" w:type="dxa"/>
            <w:tcBorders/>
          </w:tcPr>
          <w:p>
            <w:pPr>
              <w:pStyle w:val="Normal"/>
              <w:widowControl w:val="false"/>
              <w:spacing w:lineRule="auto" w:line="240"/>
              <w:ind w:right="-108" w:firstLine="567"/>
              <w:rPr>
                <w:b/>
                <w:i/>
                <w:i/>
                <w:color w:val="000000"/>
                <w:sz w:val="24"/>
                <w:szCs w:val="24"/>
              </w:rPr>
            </w:pPr>
            <w:r>
              <w:rPr>
                <w:b/>
                <w:i/>
                <w:color w:val="000000"/>
                <w:sz w:val="24"/>
                <w:szCs w:val="24"/>
              </w:rPr>
              <w:t>r</w:t>
            </w:r>
            <w:r>
              <w:rPr>
                <w:b/>
                <w:i/>
                <w:color w:val="000000"/>
                <w:sz w:val="24"/>
                <w:szCs w:val="24"/>
                <w:vertAlign w:val="subscript"/>
              </w:rPr>
              <w:t>i</w:t>
            </w:r>
          </w:p>
        </w:tc>
        <w:tc>
          <w:tcPr>
            <w:tcW w:w="280" w:type="dxa"/>
            <w:tcBorders/>
          </w:tcPr>
          <w:p>
            <w:pPr>
              <w:pStyle w:val="Normal"/>
              <w:widowControl w:val="false"/>
              <w:spacing w:lineRule="auto" w:line="240"/>
              <w:ind w:right="-108" w:firstLine="567"/>
              <w:rPr>
                <w:sz w:val="24"/>
                <w:szCs w:val="24"/>
              </w:rPr>
            </w:pPr>
            <w:r>
              <w:rPr>
                <w:sz w:val="24"/>
                <w:szCs w:val="24"/>
              </w:rPr>
              <w:t>-</w:t>
            </w:r>
          </w:p>
        </w:tc>
        <w:tc>
          <w:tcPr>
            <w:tcW w:w="8509" w:type="dxa"/>
            <w:tcBorders/>
          </w:tcPr>
          <w:p>
            <w:pPr>
              <w:pStyle w:val="Normal"/>
              <w:widowControl w:val="false"/>
              <w:tabs>
                <w:tab w:val="clear" w:pos="709"/>
                <w:tab w:val="left" w:pos="7130" w:leader="none"/>
              </w:tabs>
              <w:spacing w:lineRule="auto" w:line="240"/>
              <w:ind w:right="-108" w:firstLine="567"/>
              <w:rPr>
                <w:sz w:val="24"/>
                <w:szCs w:val="24"/>
              </w:rPr>
            </w:pPr>
            <w:r>
              <w:rPr>
                <w:sz w:val="24"/>
                <w:szCs w:val="24"/>
              </w:rPr>
              <w:t>рейтинговый коэффициент</w:t>
            </w:r>
            <w:r>
              <w:rPr>
                <w:rStyle w:val="FootnoteReference"/>
                <w:sz w:val="24"/>
                <w:szCs w:val="24"/>
              </w:rPr>
              <w:footnoteReference w:id="9"/>
            </w:r>
            <w:r>
              <w:rPr>
                <w:sz w:val="24"/>
                <w:szCs w:val="24"/>
              </w:rPr>
              <w:t xml:space="preserve"> для i-ой кредитной организации, равный:</w:t>
            </w:r>
          </w:p>
          <w:p>
            <w:pPr>
              <w:pStyle w:val="Normal"/>
              <w:widowControl w:val="false"/>
              <w:spacing w:lineRule="auto" w:line="240"/>
              <w:ind w:firstLine="492"/>
              <w:rPr>
                <w:sz w:val="24"/>
                <w:szCs w:val="24"/>
              </w:rPr>
            </w:pPr>
            <w:r>
              <w:rPr>
                <w:b/>
                <w:sz w:val="24"/>
                <w:szCs w:val="24"/>
              </w:rPr>
              <w:t>0,05</w:t>
            </w:r>
            <w:r>
              <w:rPr>
                <w:sz w:val="24"/>
                <w:szCs w:val="24"/>
              </w:rPr>
              <w:t xml:space="preserve"> - если i-ая кредитная организация имеет национальный рейтинг кредитоспособности не ниже уровня </w:t>
            </w:r>
            <w:r>
              <w:rPr>
                <w:b/>
                <w:sz w:val="24"/>
                <w:szCs w:val="24"/>
              </w:rPr>
              <w:t>«АА-»</w:t>
            </w:r>
            <w:r>
              <w:rPr>
                <w:sz w:val="24"/>
                <w:szCs w:val="24"/>
              </w:rPr>
              <w:t xml:space="preserve"> по классификации рейтингового агентства АКРА или не ниже уровня </w:t>
            </w:r>
            <w:r>
              <w:rPr>
                <w:b/>
                <w:sz w:val="24"/>
                <w:szCs w:val="24"/>
              </w:rPr>
              <w:t>«</w:t>
            </w:r>
            <w:r>
              <w:rPr>
                <w:b/>
                <w:sz w:val="24"/>
                <w:szCs w:val="24"/>
                <w:lang w:val="en-US"/>
              </w:rPr>
              <w:t>ru</w:t>
            </w:r>
            <w:r>
              <w:rPr>
                <w:b/>
                <w:sz w:val="24"/>
                <w:szCs w:val="24"/>
              </w:rPr>
              <w:t>А</w:t>
            </w:r>
            <w:r>
              <w:rPr>
                <w:b/>
                <w:sz w:val="24"/>
                <w:szCs w:val="24"/>
                <w:lang w:val="en-US"/>
              </w:rPr>
              <w:t>A</w:t>
            </w:r>
            <w:r>
              <w:rPr>
                <w:b/>
                <w:sz w:val="24"/>
                <w:szCs w:val="24"/>
              </w:rPr>
              <w:t>-»</w:t>
            </w:r>
            <w:r>
              <w:rPr>
                <w:sz w:val="24"/>
                <w:szCs w:val="24"/>
              </w:rPr>
              <w:t xml:space="preserve"> по классификации рейтингового агентства Эксперт РА;</w:t>
            </w:r>
          </w:p>
          <w:p>
            <w:pPr>
              <w:pStyle w:val="Normal"/>
              <w:widowControl w:val="false"/>
              <w:spacing w:lineRule="auto" w:line="240"/>
              <w:ind w:left="67" w:firstLine="425"/>
              <w:rPr>
                <w:sz w:val="24"/>
                <w:szCs w:val="24"/>
              </w:rPr>
            </w:pPr>
            <w:r>
              <w:rPr>
                <w:b/>
                <w:sz w:val="24"/>
                <w:szCs w:val="24"/>
              </w:rPr>
              <w:t>0,025</w:t>
            </w:r>
            <w:r>
              <w:rPr>
                <w:sz w:val="24"/>
                <w:szCs w:val="24"/>
              </w:rPr>
              <w:t xml:space="preserve"> - если i-ая кредитная организация имеет национальный рейтинг кредитоспособности не ниже уровня </w:t>
            </w:r>
            <w:r>
              <w:rPr>
                <w:b/>
                <w:sz w:val="24"/>
                <w:szCs w:val="24"/>
              </w:rPr>
              <w:t>«А-»</w:t>
            </w:r>
            <w:r>
              <w:rPr>
                <w:sz w:val="24"/>
                <w:szCs w:val="24"/>
              </w:rPr>
              <w:t xml:space="preserve"> по классификации рейтингового агентства АКРА или не ниже уровня </w:t>
            </w:r>
            <w:r>
              <w:rPr>
                <w:b/>
                <w:sz w:val="24"/>
                <w:szCs w:val="24"/>
              </w:rPr>
              <w:t>«ruA-»</w:t>
            </w:r>
            <w:r>
              <w:rPr>
                <w:sz w:val="24"/>
                <w:szCs w:val="24"/>
              </w:rPr>
              <w:t xml:space="preserve"> по классификации рейтингового агентства Эксперт РА;</w:t>
            </w:r>
          </w:p>
          <w:p>
            <w:pPr>
              <w:pStyle w:val="Normal"/>
              <w:widowControl w:val="false"/>
              <w:spacing w:lineRule="auto" w:line="240"/>
              <w:ind w:firstLine="492"/>
              <w:rPr>
                <w:sz w:val="24"/>
                <w:szCs w:val="24"/>
              </w:rPr>
            </w:pPr>
            <w:r>
              <w:rPr>
                <w:b/>
                <w:sz w:val="24"/>
                <w:szCs w:val="24"/>
              </w:rPr>
              <w:t>0,015</w:t>
            </w:r>
            <w:r>
              <w:rPr>
                <w:sz w:val="24"/>
                <w:szCs w:val="24"/>
              </w:rPr>
              <w:t xml:space="preserve"> - если i-ая кредитная организация имеет национальный рейтинг кредитоспособности не ниже уровня </w:t>
            </w:r>
            <w:r>
              <w:rPr>
                <w:b/>
                <w:sz w:val="24"/>
                <w:szCs w:val="24"/>
              </w:rPr>
              <w:t>«</w:t>
            </w:r>
            <w:r>
              <w:rPr>
                <w:b/>
                <w:sz w:val="24"/>
                <w:szCs w:val="24"/>
                <w:lang w:val="en-US"/>
              </w:rPr>
              <w:t>BB</w:t>
            </w:r>
            <w:r>
              <w:rPr>
                <w:b/>
                <w:sz w:val="24"/>
                <w:szCs w:val="24"/>
              </w:rPr>
              <w:t>В»</w:t>
            </w:r>
            <w:r>
              <w:rPr>
                <w:sz w:val="24"/>
                <w:szCs w:val="24"/>
              </w:rPr>
              <w:t xml:space="preserve"> по классификации рейтингового агентства АКРА или не ниже уровня «</w:t>
            </w:r>
            <w:r>
              <w:rPr>
                <w:sz w:val="24"/>
                <w:szCs w:val="24"/>
                <w:lang w:val="en-US"/>
              </w:rPr>
              <w:t>ruBB</w:t>
            </w:r>
            <w:r>
              <w:rPr>
                <w:sz w:val="24"/>
                <w:szCs w:val="24"/>
              </w:rPr>
              <w:t>В» по классификации рейтингового агентства Эксперт РА, а также находится в процессе финансового оздоровления (санации).</w:t>
            </w:r>
          </w:p>
        </w:tc>
      </w:tr>
    </w:tbl>
    <w:p>
      <w:pPr>
        <w:pStyle w:val="Normal"/>
        <w:tabs>
          <w:tab w:val="clear" w:pos="709"/>
          <w:tab w:val="left" w:pos="142" w:leader="none"/>
          <w:tab w:val="left" w:pos="1134" w:leader="none"/>
        </w:tabs>
        <w:spacing w:lineRule="auto" w:line="240"/>
        <w:ind w:hanging="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4"/>
                <w:szCs w:val="24"/>
              </w:rPr>
              <w:t xml:space="preserve">Директор </w:t>
            </w:r>
          </w:p>
          <w:p>
            <w:pPr>
              <w:pStyle w:val="Normal"/>
              <w:widowControl w:val="false"/>
              <w:spacing w:lineRule="auto" w:line="240"/>
              <w:ind w:hanging="0"/>
              <w:rPr>
                <w:sz w:val="24"/>
                <w:szCs w:val="24"/>
              </w:rPr>
            </w:pPr>
            <w:r>
              <w:rPr>
                <w:sz w:val="24"/>
                <w:szCs w:val="24"/>
              </w:rPr>
              <w:t>СП «ТЭЦ г. Советская Гавань»</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В.Ю. Павленко</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rPr/>
      </w:pPr>
      <w:r>
        <w:rPr/>
      </w:r>
    </w:p>
    <w:sectPr>
      <w:headerReference w:type="default" r:id="rId14"/>
      <w:headerReference w:type="first" r:id="rId15"/>
      <w:footerReference w:type="default" r:id="rId16"/>
      <w:footerReference w:type="first" r:id="rId17"/>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default"/>
  </w:font>
  <w:font w:name="Cambria">
    <w:charset w:val="01"/>
    <w:family w:val="roman"/>
    <w:pitch w:val="default"/>
  </w:font>
  <w:font w:name="Arial">
    <w:charset w:val="01"/>
    <w:family w:val="roman"/>
    <w:pitch w:val="default"/>
  </w:font>
  <w:font w:name="Tahoma">
    <w:charset w:val="01"/>
    <w:family w:val="roman"/>
    <w:pitch w:val="default"/>
  </w:font>
  <w:font w:name="Calibri">
    <w:charset w:val="01"/>
    <w:family w:val="roman"/>
    <w:pitch w:val="default"/>
  </w:font>
  <w:font w:name="OpenSymbol">
    <w:altName w:val="Arial Unicode MS"/>
    <w:charset w:val="01"/>
    <w:family w:val="roman"/>
    <w:pitch w:val="default"/>
  </w:font>
  <w:font w:name="Liberation Sans">
    <w:altName w:val="Arial"/>
    <w:charset w:val="01"/>
    <w:family w:val="roman"/>
    <w:pitch w:val="default"/>
  </w:font>
  <w:font w:name="Verdana">
    <w:charset w:val="01"/>
    <w:family w:val="roma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11</w:t>
    </w:r>
    <w:r>
      <w:rPr>
        <w:sz w:val="20"/>
        <w:szCs w:val="2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33</w:t>
    </w:r>
    <w:r>
      <w:rPr>
        <w:sz w:val="24"/>
        <w:szCs w:val="24"/>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43</w:t>
    </w:r>
    <w:r>
      <w:rPr>
        <w:sz w:val="24"/>
        <w:szCs w:val="24"/>
      </w:rPr>
      <w:fldChar w:fldCharType="end"/>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
        </w:rPr>
        <w:footnoteRef/>
      </w:r>
      <w:r>
        <w:rPr/>
        <w:t xml:space="preserve"> </w:t>
      </w:r>
      <w:r>
        <w:rPr/>
        <w:t>В случае непредоставления новой Банковской гарантии возврата авансового платежа.</w:t>
      </w:r>
    </w:p>
  </w:footnote>
  <w:footnote w:id="3">
    <w:p>
      <w:pPr>
        <w:pStyle w:val="FootnoteText"/>
        <w:jc w:val="both"/>
        <w:rPr/>
      </w:pPr>
      <w:r>
        <w:rPr>
          <w:rStyle w:val="Style"/>
        </w:rPr>
        <w:footnoteRef/>
      </w:r>
      <w:r>
        <w:rPr/>
        <w:t xml:space="preserve"> </w:t>
      </w:r>
      <w:r>
        <w:rPr/>
        <w:t>В случае непредоставления Банковской гарантии надлежащего исполнения Договора.</w:t>
      </w:r>
    </w:p>
  </w:footnote>
  <w:footnote w:id="4">
    <w:p>
      <w:pPr>
        <w:pStyle w:val="FootnoteText"/>
        <w:jc w:val="both"/>
        <w:rPr/>
      </w:pPr>
      <w:r>
        <w:rPr>
          <w:rStyle w:val="Style"/>
        </w:rPr>
        <w:footnoteRef/>
      </w:r>
      <w:r>
        <w:rPr/>
        <w:t xml:space="preserve"> </w:t>
      </w:r>
      <w:r>
        <w:rPr/>
        <w:t>Актуальный Перечень Банков-Гарантов Группы РусГидро размещен на официальном сайте Общества http://zakupki.rushydro.ru/PublicContent/Section/6</w:t>
      </w:r>
    </w:p>
  </w:footnote>
  <w:footnote w:id="5">
    <w:p>
      <w:pPr>
        <w:pStyle w:val="FootnoteText"/>
        <w:jc w:val="both"/>
        <w:rPr/>
      </w:pPr>
      <w:r>
        <w:rPr>
          <w:rStyle w:val="Style"/>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6">
    <w:p>
      <w:pPr>
        <w:pStyle w:val="FootnoteText"/>
        <w:jc w:val="both"/>
        <w:rPr/>
      </w:pPr>
      <w:r>
        <w:rPr>
          <w:rStyle w:val="Style"/>
        </w:rPr>
        <w:footnoteRef/>
      </w:r>
      <w:r>
        <w:rPr/>
        <w:t xml:space="preserve"> </w:t>
      </w:r>
      <w:r>
        <w:rPr/>
        <w:t>Данное требование не применяется в отношении небанковских кредитных организаций.</w:t>
      </w:r>
    </w:p>
  </w:footnote>
  <w:footnote w:id="7">
    <w:p>
      <w:pPr>
        <w:pStyle w:val="FootnoteText"/>
        <w:jc w:val="both"/>
        <w:rPr/>
      </w:pPr>
      <w:r>
        <w:rPr>
          <w:rStyle w:val="Style"/>
        </w:rPr>
        <w:footnoteRef/>
      </w:r>
      <w:r>
        <w:rPr/>
        <w:t xml:space="preserve"> </w:t>
      </w:r>
      <w:r>
        <w:rPr/>
        <w:t>При издании ПО организационно-распорядительного документа о ТФУ данный критерий может быть исключен.</w:t>
      </w:r>
    </w:p>
  </w:footnote>
  <w:footnote w:id="8">
    <w:p>
      <w:pPr>
        <w:pStyle w:val="FootnoteText"/>
        <w:jc w:val="both"/>
        <w:rPr/>
      </w:pPr>
      <w:r>
        <w:rPr>
          <w:rStyle w:val="Style"/>
        </w:rPr>
        <w:footnoteRef/>
      </w:r>
      <w:r>
        <w:rPr/>
        <w:t xml:space="preserve"> </w:t>
      </w:r>
      <w:r>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9">
    <w:p>
      <w:pPr>
        <w:pStyle w:val="FootnoteText"/>
        <w:jc w:val="both"/>
        <w:rPr/>
      </w:pPr>
      <w:r>
        <w:rPr>
          <w:rStyle w:val="Style"/>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88"/>
      <w:jc w:val="right"/>
      <w:rPr>
        <w:sz w:val="20"/>
        <w:szCs w:val="20"/>
      </w:rPr>
    </w:pPr>
    <w:r>
      <w:rPr>
        <w:sz w:val="20"/>
        <w:szCs w:val="20"/>
      </w:rPr>
      <w:t>ТФД №1.2.2.</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rPr>
      <w:t xml:space="preserve">ТФД 1.2.2.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u w:val="none"/>
        <w:b/>
      </w:rPr>
    </w:lvl>
    <w:lvl w:ilvl="1">
      <w:start w:val="1"/>
      <w:numFmt w:val="decimal"/>
      <w:lvlText w:val="%1.%2."/>
      <w:lvlJc w:val="left"/>
      <w:pPr>
        <w:tabs>
          <w:tab w:val="num" w:pos="0"/>
        </w:tabs>
        <w:ind w:left="1142" w:hanging="432"/>
      </w:pPr>
      <w:rPr>
        <w:sz w:val="24"/>
        <w:u w:val="none"/>
        <w:b w:val="false"/>
        <w:szCs w:val="24"/>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decimal"/>
      <w:lvlText w:val="%1."/>
      <w:lvlJc w:val="left"/>
      <w:pPr>
        <w:tabs>
          <w:tab w:val="num" w:pos="0"/>
        </w:tabs>
        <w:ind w:left="720" w:hanging="360"/>
      </w:pPr>
      <w:rPr/>
    </w:lvl>
    <w:lvl w:ilvl="1">
      <w:start w:val="1"/>
      <w:numFmt w:val="decimal"/>
      <w:lvlText w:val="%2."/>
      <w:lvlJc w:val="left"/>
      <w:pPr>
        <w:tabs>
          <w:tab w:val="num" w:pos="0"/>
        </w:tabs>
        <w:ind w:left="1430" w:hanging="720"/>
      </w:pPr>
      <w:rPr/>
    </w:lvl>
    <w:lvl w:ilvl="2">
      <w:start w:val="1"/>
      <w:numFmt w:val="decimal"/>
      <w:lvlText w:val="%1.%2.%3."/>
      <w:lvlJc w:val="left"/>
      <w:pPr>
        <w:tabs>
          <w:tab w:val="num" w:pos="0"/>
        </w:tabs>
        <w:ind w:left="1146" w:hanging="720"/>
      </w:pPr>
      <w:rPr>
        <w:b w:val="false"/>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520" w:hanging="2160"/>
      </w:pPr>
      <w:rPr/>
    </w:lvl>
  </w:abstractNum>
  <w:abstractNum w:abstractNumId="20">
    <w:lvl w:ilvl="0">
      <w:start w:val="9"/>
      <w:numFmt w:val="decimal"/>
      <w:lvlText w:val="%1."/>
      <w:lvlJc w:val="left"/>
      <w:pPr>
        <w:tabs>
          <w:tab w:val="num" w:pos="0"/>
        </w:tabs>
        <w:ind w:left="450" w:hanging="450"/>
      </w:pPr>
      <w:rPr/>
    </w:lvl>
    <w:lvl w:ilvl="1">
      <w:start w:val="1"/>
      <w:numFmt w:val="decimal"/>
      <w:lvlText w:val="%1.%2."/>
      <w:lvlJc w:val="left"/>
      <w:pPr>
        <w:tabs>
          <w:tab w:val="num" w:pos="0"/>
        </w:tabs>
        <w:ind w:left="2136" w:hanging="720"/>
      </w:pPr>
      <w:rPr/>
    </w:lvl>
    <w:lvl w:ilvl="2">
      <w:start w:val="1"/>
      <w:numFmt w:val="decimal"/>
      <w:lvlText w:val="%1.%2.%3."/>
      <w:lvlJc w:val="left"/>
      <w:pPr>
        <w:tabs>
          <w:tab w:val="num" w:pos="0"/>
        </w:tabs>
        <w:ind w:left="3552" w:hanging="720"/>
      </w:pPr>
      <w:rPr/>
    </w:lvl>
    <w:lvl w:ilvl="3">
      <w:start w:val="1"/>
      <w:numFmt w:val="decimal"/>
      <w:lvlText w:val="%1.%2.%3.%4."/>
      <w:lvlJc w:val="left"/>
      <w:pPr>
        <w:tabs>
          <w:tab w:val="num" w:pos="0"/>
        </w:tabs>
        <w:ind w:left="5328" w:hanging="1080"/>
      </w:pPr>
      <w:rPr/>
    </w:lvl>
    <w:lvl w:ilvl="4">
      <w:start w:val="1"/>
      <w:numFmt w:val="decimal"/>
      <w:lvlText w:val="%1.%2.%3.%4.%5."/>
      <w:lvlJc w:val="left"/>
      <w:pPr>
        <w:tabs>
          <w:tab w:val="num" w:pos="0"/>
        </w:tabs>
        <w:ind w:left="6744" w:hanging="1080"/>
      </w:pPr>
      <w:rPr/>
    </w:lvl>
    <w:lvl w:ilvl="5">
      <w:start w:val="1"/>
      <w:numFmt w:val="decimal"/>
      <w:lvlText w:val="%1.%2.%3.%4.%5.%6."/>
      <w:lvlJc w:val="left"/>
      <w:pPr>
        <w:tabs>
          <w:tab w:val="num" w:pos="0"/>
        </w:tabs>
        <w:ind w:left="8520" w:hanging="1440"/>
      </w:pPr>
      <w:rPr/>
    </w:lvl>
    <w:lvl w:ilvl="6">
      <w:start w:val="1"/>
      <w:numFmt w:val="decimal"/>
      <w:lvlText w:val="%1.%2.%3.%4.%5.%6.%7."/>
      <w:lvlJc w:val="left"/>
      <w:pPr>
        <w:tabs>
          <w:tab w:val="num" w:pos="0"/>
        </w:tabs>
        <w:ind w:left="10296" w:hanging="1800"/>
      </w:pPr>
      <w:rPr/>
    </w:lvl>
    <w:lvl w:ilvl="7">
      <w:start w:val="1"/>
      <w:numFmt w:val="decimal"/>
      <w:lvlText w:val="%1.%2.%3.%4.%5.%6.%7.%8."/>
      <w:lvlJc w:val="left"/>
      <w:pPr>
        <w:tabs>
          <w:tab w:val="num" w:pos="0"/>
        </w:tabs>
        <w:ind w:left="11712" w:hanging="1800"/>
      </w:pPr>
      <w:rPr/>
    </w:lvl>
    <w:lvl w:ilvl="8">
      <w:start w:val="1"/>
      <w:numFmt w:val="decimal"/>
      <w:lvlText w:val="%1.%2.%3.%4.%5.%6.%7.%8.%9."/>
      <w:lvlJc w:val="left"/>
      <w:pPr>
        <w:tabs>
          <w:tab w:val="num" w:pos="0"/>
        </w:tabs>
        <w:ind w:left="13488" w:hanging="216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qFormat/>
    <w:pPr>
      <w:keepNext w:val="true"/>
      <w:spacing w:before="240" w:after="60"/>
      <w:outlineLvl w:val="0"/>
    </w:pPr>
    <w:rPr>
      <w:rFonts w:ascii="Cambria" w:hAnsi="Cambria"/>
      <w:b/>
      <w:bCs/>
      <w:sz w:val="32"/>
      <w:szCs w:val="32"/>
    </w:rPr>
  </w:style>
  <w:style w:type="paragraph" w:styleId="Heading2">
    <w:name w:val="Heading 2"/>
    <w:basedOn w:val="Normal"/>
    <w:qFormat/>
    <w:pPr>
      <w:keepNext w:val="true"/>
      <w:spacing w:before="240" w:after="60"/>
      <w:outlineLvl w:val="1"/>
    </w:pPr>
    <w:rPr>
      <w:rFonts w:ascii="Cambria" w:hAnsi="Cambria"/>
      <w:b/>
      <w:bCs/>
      <w:i/>
      <w:iCs/>
    </w:rPr>
  </w:style>
  <w:style w:type="paragraph" w:styleId="Heading3">
    <w:name w:val="Heading 3"/>
    <w:basedOn w:val="Normal"/>
    <w:uiPriority w:val="9"/>
    <w:qFormat/>
    <w:pPr>
      <w:keepNext w:val="true"/>
      <w:spacing w:lineRule="auto" w:line="240" w:before="120" w:after="120"/>
      <w:ind w:hanging="0"/>
      <w:jc w:val="left"/>
      <w:outlineLvl w:val="2"/>
    </w:pPr>
    <w:rPr>
      <w:b/>
      <w:szCs w:val="2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qFormat/>
    <w:rPr>
      <w:b/>
      <w:bCs/>
      <w:sz w:val="24"/>
      <w:szCs w:val="24"/>
    </w:rPr>
  </w:style>
  <w:style w:type="character" w:styleId="Style1" w:customStyle="1">
    <w:name w:val="Текст выноски Знак"/>
    <w:qFormat/>
    <w:rPr>
      <w:rFonts w:ascii="Tahoma" w:hAnsi="Tahoma" w:cs="Tahoma"/>
      <w:sz w:val="16"/>
      <w:szCs w:val="16"/>
    </w:rPr>
  </w:style>
  <w:style w:type="character" w:styleId="1" w:customStyle="1">
    <w:name w:val="1. Статья Знак"/>
    <w:qFormat/>
    <w:rPr>
      <w:sz w:val="24"/>
      <w:szCs w:val="24"/>
    </w:rPr>
  </w:style>
  <w:style w:type="character" w:styleId="4" w:customStyle="1">
    <w:name w:val="4. Отчерк Знак"/>
    <w:qFormat/>
    <w:rPr>
      <w:sz w:val="24"/>
      <w:szCs w:val="24"/>
    </w:rPr>
  </w:style>
  <w:style w:type="character" w:styleId="Annotationreference">
    <w:name w:val="annotation reference"/>
    <w:qFormat/>
    <w:rPr>
      <w:sz w:val="16"/>
      <w:szCs w:val="16"/>
    </w:rPr>
  </w:style>
  <w:style w:type="character" w:styleId="Style2" w:customStyle="1">
    <w:name w:val="Текст примечания Знак"/>
    <w:qFormat/>
    <w:rPr/>
  </w:style>
  <w:style w:type="character" w:styleId="Style3" w:customStyle="1">
    <w:name w:val="Тема примечания Знак"/>
    <w:uiPriority w:val="99"/>
    <w:qFormat/>
    <w:rPr>
      <w:b/>
      <w:bCs/>
    </w:rPr>
  </w:style>
  <w:style w:type="character" w:styleId="Style4" w:customStyle="1">
    <w:name w:val="Нижний колонтитул Знак"/>
    <w:uiPriority w:val="99"/>
    <w:qFormat/>
    <w:rPr>
      <w:sz w:val="28"/>
      <w:szCs w:val="28"/>
    </w:rPr>
  </w:style>
  <w:style w:type="character" w:styleId="32" w:customStyle="1">
    <w:name w:val="Основной текст 3 Знак"/>
    <w:qFormat/>
    <w:rPr>
      <w:color w:val="0000FF"/>
      <w:sz w:val="24"/>
      <w:szCs w:val="24"/>
      <w:lang w:eastAsia="en-US"/>
    </w:rPr>
  </w:style>
  <w:style w:type="character" w:styleId="Style5"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 w:customStyle="1">
    <w:name w:val="Заголовок 2 Знак"/>
    <w:semiHidden/>
    <w:qFormat/>
    <w:rPr>
      <w:rFonts w:ascii="Cambria" w:hAnsi="Cambria" w:eastAsia="Times New Roman" w:cs="Times New Roman"/>
      <w:b/>
      <w:bCs/>
      <w:i/>
      <w:iCs/>
      <w:sz w:val="28"/>
      <w:szCs w:val="28"/>
    </w:rPr>
  </w:style>
  <w:style w:type="character" w:styleId="Style6"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7" w:customStyle="1">
    <w:name w:val="Текст сноски Знак"/>
    <w:qFormat/>
    <w:rPr/>
  </w:style>
  <w:style w:type="character" w:styleId="Hyperlink">
    <w:name w:val="Hyperlink"/>
    <w:uiPriority w:val="99"/>
    <w:unhideWhenUsed/>
    <w:rPr>
      <w:color w:val="0000FF"/>
      <w:u w:val="single"/>
    </w:rPr>
  </w:style>
  <w:style w:type="character" w:styleId="Style8" w:customStyle="1">
    <w:name w:val="Текст концевой сноски Знак"/>
    <w:uiPriority w:val="99"/>
    <w:semiHidden/>
    <w:qFormat/>
    <w:rPr/>
  </w:style>
  <w:style w:type="character" w:styleId="Style9">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0" w:customStyle="1">
    <w:name w:val="Верхний колонтитул Знак"/>
    <w:basedOn w:val="DefaultParagraphFont"/>
    <w:uiPriority w:val="99"/>
    <w:qFormat/>
    <w:rPr>
      <w:sz w:val="28"/>
      <w:szCs w:val="28"/>
    </w:rPr>
  </w:style>
  <w:style w:type="character" w:styleId="Style11" w:customStyle="1">
    <w:name w:val="Текст Знак"/>
    <w:basedOn w:val="DefaultParagraphFont"/>
    <w:uiPriority w:val="99"/>
    <w:semiHidden/>
    <w:qFormat/>
    <w:rPr>
      <w:rFonts w:ascii="Calibri" w:hAnsi="Calibri" w:eastAsia="Calibri" w:cs="Arial" w:cstheme="minorBidi" w:eastAsiaTheme="minorHAnsi"/>
      <w:sz w:val="22"/>
      <w:szCs w:val="21"/>
      <w:lang w:eastAsia="en-US"/>
    </w:rPr>
  </w:style>
  <w:style w:type="character" w:styleId="Style12" w:customStyle="1">
    <w:name w:val="Абзац списка Знак"/>
    <w:uiPriority w:val="34"/>
    <w:qFormat/>
    <w:rPr>
      <w:sz w:val="24"/>
      <w:szCs w:val="24"/>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character" w:styleId="FollowedHyperlink">
    <w:name w:val="FollowedHyperlink"/>
    <w:rPr>
      <w:color w:val="800000"/>
      <w:u w:val="single"/>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ind w:left="0" w:right="0" w:firstLine="720"/>
    </w:pPr>
    <w:rPr/>
  </w:style>
  <w:style w:type="paragraph" w:styleId="List">
    <w:name w:val="List"/>
    <w:basedOn w:val="BodyText"/>
    <w:pPr/>
    <w:rPr>
      <w:rFonts w:ascii="Times New Roman" w:hAnsi="Times New Roman" w:cs="Arial Unicode MS"/>
    </w:rPr>
  </w:style>
  <w:style w:type="paragraph" w:styleId="Caption">
    <w:name w:val="Caption"/>
    <w:basedOn w:val="Normal"/>
    <w:qFormat/>
    <w:pPr>
      <w:widowControl w:val="false"/>
      <w:spacing w:lineRule="auto" w:line="240" w:before="120" w:after="120"/>
      <w:ind w:hanging="0"/>
    </w:pPr>
    <w:rPr>
      <w:b/>
      <w:bCs/>
      <w:sz w:val="24"/>
      <w:szCs w:val="24"/>
    </w:rPr>
  </w:style>
  <w:style w:type="paragraph" w:styleId="Style16">
    <w:name w:val="Указатель"/>
    <w:basedOn w:val="Normal"/>
    <w:qFormat/>
    <w:pPr>
      <w:suppressLineNumbers/>
    </w:pPr>
    <w:rPr>
      <w:rFonts w:ascii="Times New Roman" w:hAnsi="Times New Roman"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5"/>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17">
    <w:name w:val="Колонтитул"/>
    <w:basedOn w:val="Normal"/>
    <w:qFormat/>
    <w:pPr/>
    <w:rPr/>
  </w:style>
  <w:style w:type="paragraph" w:styleId="Header">
    <w:name w:val="Header"/>
    <w:basedOn w:val="Normal"/>
    <w:uiPriority w:val="99"/>
    <w:pPr>
      <w:tabs>
        <w:tab w:val="clear" w:pos="709"/>
        <w:tab w:val="center" w:pos="4677" w:leader="none"/>
        <w:tab w:val="right" w:pos="9355" w:leader="none"/>
      </w:tabs>
    </w:pPr>
    <w:rPr/>
  </w:style>
  <w:style w:type="paragraph" w:styleId="Style18"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9"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pPr>
      <w:spacing w:lineRule="auto" w:line="240"/>
      <w:ind w:hanging="0"/>
      <w:jc w:val="left"/>
    </w:pPr>
    <w:rPr>
      <w:sz w:val="20"/>
      <w:szCs w:val="20"/>
    </w:rPr>
  </w:style>
  <w:style w:type="paragraph" w:styleId="Style20"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1"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2" w:customStyle="1">
    <w:name w:val="Пункт договора"/>
    <w:basedOn w:val="Normal"/>
    <w:qFormat/>
    <w:pPr>
      <w:widowControl w:val="false"/>
      <w:spacing w:lineRule="auto" w:line="240"/>
      <w:ind w:hanging="0"/>
    </w:pPr>
    <w:rPr>
      <w:rFonts w:ascii="Arial" w:hAnsi="Arial"/>
      <w:sz w:val="20"/>
      <w:szCs w:val="20"/>
    </w:rPr>
  </w:style>
  <w:style w:type="paragraph" w:styleId="Style23" w:customStyle="1">
    <w:name w:val="Подпункт договора"/>
    <w:basedOn w:val="Normal"/>
    <w:qFormat/>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qFormat/>
    <w:pPr>
      <w:keepNext w:val="false"/>
      <w:widowControl w:val="false"/>
      <w:numPr>
        <w:ilvl w:val="0"/>
        <w:numId w:val="1"/>
      </w:numPr>
      <w:tabs>
        <w:tab w:val="clear" w:pos="709"/>
        <w:tab w:val="left" w:pos="2340" w:leader="none"/>
      </w:tabs>
      <w:spacing w:before="0" w:after="0"/>
      <w:ind w:right="1462" w:hanging="0"/>
      <w:jc w:val="center"/>
    </w:pPr>
    <w:rPr>
      <w:b w:val="false"/>
      <w:sz w:val="24"/>
      <w:szCs w:val="24"/>
    </w:rPr>
  </w:style>
  <w:style w:type="paragraph" w:styleId="22"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qFormat/>
    <w:pPr>
      <w:keepNext w:val="false"/>
      <w:widowControl w:val="false"/>
      <w:numPr>
        <w:ilvl w:val="2"/>
        <w:numId w:val="1"/>
      </w:numPr>
      <w:tabs>
        <w:tab w:val="clear" w:pos="709"/>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1" w:customStyle="1">
    <w:name w:val="4. Отчерк"/>
    <w:basedOn w:val="Normal"/>
    <w:qFormat/>
    <w:pPr>
      <w:widowControl w:val="false"/>
      <w:numPr>
        <w:ilvl w:val="0"/>
        <w:numId w:val="2"/>
      </w:numPr>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uiPriority w:val="99"/>
    <w:qFormat/>
    <w:pPr/>
    <w:rPr>
      <w:b/>
      <w:bCs/>
    </w:rPr>
  </w:style>
  <w:style w:type="paragraph" w:styleId="Footer">
    <w:name w:val="Footer"/>
    <w:basedOn w:val="Normal"/>
    <w:uiPriority w:val="99"/>
    <w:pPr>
      <w:tabs>
        <w:tab w:val="clear" w:pos="709"/>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qFormat/>
    <w:pPr>
      <w:widowControl w:val="false"/>
      <w:spacing w:lineRule="auto" w:line="240" w:before="0" w:after="120"/>
      <w:ind w:hanging="0"/>
      <w:jc w:val="center"/>
    </w:pPr>
    <w:rPr>
      <w:b/>
      <w:bCs/>
      <w:sz w:val="32"/>
      <w:szCs w:val="20"/>
    </w:rPr>
  </w:style>
  <w:style w:type="paragraph" w:styleId="BodyTextIndent">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9"/>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9"/>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uiPriority w:val="99"/>
    <w:semiHidden/>
    <w:unhideWhenUsed/>
    <w:pPr/>
    <w:rPr>
      <w:sz w:val="20"/>
      <w:szCs w:val="20"/>
    </w:rPr>
  </w:style>
  <w:style w:type="paragraph" w:styleId="PlainText">
    <w:name w:val="Plain Text"/>
    <w:basedOn w:val="Normal"/>
    <w:uiPriority w:val="99"/>
    <w:semiHidden/>
    <w:unhideWhenUsed/>
    <w:qFormat/>
    <w:pPr>
      <w:spacing w:lineRule="auto" w:line="240"/>
      <w:ind w:hanging="0"/>
      <w:jc w:val="left"/>
    </w:pPr>
    <w:rPr>
      <w:rFonts w:ascii="Calibri" w:hAnsi="Calibri" w:eastAsia="Calibri" w:cs="Arial" w:cstheme="minorBidi" w:eastAsiaTheme="minorHAnsi"/>
      <w:sz w:val="22"/>
      <w:szCs w:val="21"/>
      <w:lang w:eastAsia="en-US"/>
    </w:rPr>
  </w:style>
  <w:style w:type="paragraph" w:styleId="Default" w:customStyle="1">
    <w:name w:val="Default"/>
    <w:qFormat/>
    <w:pPr>
      <w:keepNext w:val="false"/>
      <w:keepLines w:val="false"/>
      <w:pageBreakBefore w:val="false"/>
      <w:widowControl/>
      <w:shd w:val="nil" w:color="000000"/>
      <w:suppressAutoHyphens w:val="true"/>
      <w:bidi w:val="0"/>
      <w:spacing w:lineRule="auto" w:line="240" w:beforeAutospacing="0" w:before="0" w:afterAutospacing="0" w:after="0"/>
      <w:ind w:left="0" w:right="0" w:hanging="0"/>
      <w:jc w:val="left"/>
    </w:pPr>
    <w:rPr>
      <w:rFonts w:ascii="Times New Roman" w:hAnsi="Times New Roman" w:eastAsia="Calibri" w:cs="Times New Roman" w:eastAsiaTheme="minorHAnsi"/>
      <w:b w:val="false"/>
      <w:bCs w:val="false"/>
      <w:i w:val="false"/>
      <w:iCs w:val="false"/>
      <w:caps w:val="false"/>
      <w:smallCaps w:val="false"/>
      <w:strike w:val="false"/>
      <w:dstrike w:val="false"/>
      <w:vanish w:val="false"/>
      <w:color w:val="000000"/>
      <w:spacing w:val="0"/>
      <w:kern w:val="0"/>
      <w:position w:val="0"/>
      <w:sz w:val="24"/>
      <w:sz w:val="24"/>
      <w:szCs w:val="24"/>
      <w:u w:val="none"/>
      <w:vertAlign w:val="baseline"/>
      <w:lang w:val="ru-RU" w:eastAsia="en-US" w:bidi="ar-SA"/>
      <w14:ligatures w14:val="none"/>
    </w:rPr>
  </w:style>
  <w:style w:type="paragraph" w:styleId="Style24">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25">
    <w:name w:val="Содержимое таблицы"/>
    <w:basedOn w:val="Normal"/>
    <w:qFormat/>
    <w:pPr>
      <w:widowControl w:val="false"/>
      <w:suppressLineNumbers/>
    </w:pPr>
    <w:rPr/>
  </w:style>
  <w:style w:type="paragraph" w:styleId="Style26">
    <w:name w:val="Заголовок таблицы"/>
    <w:basedOn w:val="Style25"/>
    <w:qFormat/>
    <w:pPr>
      <w:suppressLineNumbers/>
      <w:jc w:val="center"/>
    </w:pPr>
    <w:rPr>
      <w:b/>
      <w:bCs/>
    </w:rPr>
  </w:style>
  <w:style w:type="numbering" w:styleId="NoList" w:default="1">
    <w:name w:val="No List"/>
    <w:uiPriority w:val="99"/>
    <w:semiHidden/>
    <w:unhideWhenUsed/>
    <w:qFormat/>
  </w:style>
  <w:style w:type="numbering" w:styleId="26334502761">
    <w:name w:val="26334502761"/>
    <w:qFormat/>
  </w:style>
  <w:style w:type="numbering" w:styleId="24745442841">
    <w:name w:val="24745442841"/>
    <w:qFormat/>
  </w:style>
  <w:style w:type="numbering" w:styleId="9737121411">
    <w:name w:val="973712141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consultantplus://offline/ref=94D5CE8889791A29DE57299515463A9D6134D8237B999C803E6F853513x2A2P" TargetMode="External"/><Relationship Id="rId4" Type="http://schemas.openxmlformats.org/officeDocument/2006/relationships/hyperlink" Target="consultantplus://offline/ref=94D5CE8889791A29DE57299515463A9D6135D2287D929C803E6F853513x2A2P" TargetMode="External"/><Relationship Id="rId5" Type="http://schemas.openxmlformats.org/officeDocument/2006/relationships/hyperlink" Target="consultantplus://offline/ref=79440D5123ABA6A25F43346AB59DBAAC7032C8E1556DA64FAED62E167F76889C2B7C475C32EFC59BJ8rDH"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yperlink" Target="http://www.cbr.ru/" TargetMode="Externa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footnotes" Target="footnotes.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Relationship Id="rId24" Type="http://schemas.openxmlformats.org/officeDocument/2006/relationships/customXml" Target="../customXml/item2.xml"/><Relationship Id="rId25" Type="http://schemas.openxmlformats.org/officeDocument/2006/relationships/customXml" Target="../customXml/item3.xml"/><Relationship Id="rId26" Type="http://schemas.openxmlformats.org/officeDocument/2006/relationships/customXml" Target="../customXml/item4.xml"/><Relationship Id="rId27"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72268F8-CD4E-4501-A11A-D05927819D85}">
  <ds:schemaRefs>
    <ds:schemaRef ds:uri="http://schemas.openxmlformats.org/officeDocument/2006/bibliography"/>
  </ds:schemaRefs>
</ds:datastoreItem>
</file>

<file path=customXml/itemProps4.xml><?xml version="1.0" encoding="utf-8"?>
<ds:datastoreItem xmlns:ds="http://schemas.openxmlformats.org/officeDocument/2006/customXml" ds:itemID="{491B9E41-DCCF-48D8-A6A3-3AF809CB52BE}">
  <ds:schemaRefs>
    <ds:schemaRef ds:uri="http://schemas.openxmlformats.org/officeDocument/2006/bibliography"/>
  </ds:schemaRefs>
</ds:datastoreItem>
</file>

<file path=customXml/itemProps5.xml><?xml version="1.0" encoding="utf-8"?>
<ds:datastoreItem xmlns:ds="http://schemas.openxmlformats.org/officeDocument/2006/customXml" ds:itemID="{1185905A-A849-4DFE-9DCC-7F92ED66E4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Application>AlterOffice/2025.3.1.0$Linux_X86_64 LibreOffice_project/431cd1b79110582f53535c95ed0a2449aadc8bf9</Application>
  <AppVersion>15.0000</AppVersion>
  <DocSecurity>4</DocSecurity>
  <Pages>43</Pages>
  <Words>15013</Words>
  <Characters>107162</Characters>
  <CharactersWithSpaces>121721</CharactersWithSpaces>
  <Paragraphs>739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2025-03-10T04:02:00Z</dcterms:created>
  <dc:creator>UK VoHEC</dc:creator>
  <dc:description/>
  <dc:language>ru-RU</dc:language>
  <cp:lastModifiedBy>kogonzon_ai@DGK.RU</cp:lastModifiedBy>
  <dcterms:modified xsi:type="dcterms:W3CDTF">2026-05-08T09:53:44Z</dcterms:modified>
  <cp:revision>84</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